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2C3C" w14:textId="0615FC36" w:rsidR="0094650E" w:rsidRPr="00B24021" w:rsidRDefault="00B24021" w:rsidP="00B24021">
      <w:pPr>
        <w:spacing w:after="0"/>
        <w:jc w:val="center"/>
        <w:rPr>
          <w:rFonts w:ascii="Times New Roman" w:eastAsia="Times New Roman" w:hAnsi="Times New Roman" w:cs="Times New Roman"/>
          <w:b/>
          <w:sz w:val="28"/>
          <w:szCs w:val="28"/>
          <w:lang w:eastAsia="en-IN"/>
        </w:rPr>
      </w:pPr>
      <w:bookmarkStart w:id="0" w:name="_Hlk185101910"/>
      <w:r w:rsidRPr="00B24021">
        <w:rPr>
          <w:rFonts w:ascii="Times New Roman" w:eastAsia="Times New Roman" w:hAnsi="Times New Roman" w:cs="Times New Roman"/>
          <w:b/>
          <w:sz w:val="28"/>
          <w:szCs w:val="28"/>
          <w:lang w:eastAsia="en-IN"/>
        </w:rPr>
        <w:t>Libraries as Cultural Curators: The Place of Graphic Novels in Modern Collections</w:t>
      </w:r>
    </w:p>
    <w:p w14:paraId="0CA4D5B0" w14:textId="77777777" w:rsidR="00B24021" w:rsidRPr="00B24021" w:rsidRDefault="00B24021" w:rsidP="00B24021">
      <w:pPr>
        <w:spacing w:after="0"/>
        <w:jc w:val="both"/>
        <w:rPr>
          <w:rFonts w:ascii="Times New Roman" w:hAnsi="Times New Roman" w:cs="Times New Roman"/>
          <w:b/>
          <w:sz w:val="20"/>
          <w:szCs w:val="20"/>
        </w:rPr>
      </w:pPr>
    </w:p>
    <w:p w14:paraId="50201EA5" w14:textId="4B790784" w:rsidR="0094650E" w:rsidRDefault="00B24021" w:rsidP="00B24021">
      <w:pPr>
        <w:spacing w:after="0"/>
        <w:jc w:val="both"/>
        <w:rPr>
          <w:rFonts w:ascii="Times New Roman" w:hAnsi="Times New Roman" w:cs="Times New Roman"/>
          <w:b/>
          <w:sz w:val="24"/>
          <w:szCs w:val="24"/>
          <w:lang w:val="sv-SE"/>
        </w:rPr>
      </w:pPr>
      <w:bookmarkStart w:id="1" w:name="_Hlk184721473"/>
      <w:bookmarkEnd w:id="0"/>
      <w:r w:rsidRPr="00B24021">
        <w:rPr>
          <w:rFonts w:ascii="Times New Roman" w:hAnsi="Times New Roman" w:cs="Times New Roman"/>
          <w:b/>
          <w:sz w:val="24"/>
          <w:szCs w:val="24"/>
          <w:lang w:val="sv-SE"/>
        </w:rPr>
        <w:t>Dr. Somanand Saraswati</w:t>
      </w:r>
    </w:p>
    <w:p w14:paraId="04C4F5D5" w14:textId="77777777" w:rsidR="00B24021" w:rsidRPr="00B24021" w:rsidRDefault="00B24021" w:rsidP="00B24021">
      <w:pPr>
        <w:spacing w:after="0"/>
        <w:jc w:val="both"/>
        <w:rPr>
          <w:rFonts w:ascii="Times New Roman" w:hAnsi="Times New Roman" w:cs="Times New Roman"/>
          <w:b/>
          <w:sz w:val="24"/>
          <w:szCs w:val="24"/>
          <w:vertAlign w:val="superscript"/>
          <w:lang w:val="sv-SE"/>
        </w:rPr>
      </w:pPr>
    </w:p>
    <w:bookmarkEnd w:id="1"/>
    <w:p w14:paraId="31729994" w14:textId="5D3B0B10" w:rsidR="005A2B6A" w:rsidRPr="00B24021" w:rsidRDefault="00F762D9" w:rsidP="00B24021">
      <w:pPr>
        <w:spacing w:after="0"/>
        <w:jc w:val="both"/>
        <w:rPr>
          <w:rFonts w:ascii="Times New Roman" w:hAnsi="Times New Roman" w:cs="Times New Roman"/>
          <w:b/>
          <w:sz w:val="20"/>
          <w:szCs w:val="20"/>
          <w:lang w:val="sv-SE"/>
        </w:rPr>
      </w:pPr>
      <w:r w:rsidRPr="00B24021">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107CCBD1" wp14:editId="3B26E63F">
                <wp:simplePos x="0" y="0"/>
                <wp:positionH relativeFrom="column">
                  <wp:posOffset>0</wp:posOffset>
                </wp:positionH>
                <wp:positionV relativeFrom="paragraph">
                  <wp:posOffset>0</wp:posOffset>
                </wp:positionV>
                <wp:extent cx="6134100" cy="0"/>
                <wp:effectExtent l="0" t="0" r="0" b="0"/>
                <wp:wrapNone/>
                <wp:docPr id="1134277880" name="Straight Connector 14"/>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62A42D" id="Straight Connector 1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8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ymAEAAIgDAAAOAAAAZHJzL2Uyb0RvYy54bWysU9uO0zAQfUfiHyy/0yQLWq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" strokecolor="black [3040]"/>
            </w:pict>
          </mc:Fallback>
        </mc:AlternateContent>
      </w:r>
    </w:p>
    <w:p w14:paraId="1AFD6E11" w14:textId="46632384" w:rsidR="00B24021" w:rsidRPr="00B24021" w:rsidRDefault="00B24021" w:rsidP="00B24021">
      <w:pPr>
        <w:spacing w:after="0"/>
        <w:jc w:val="both"/>
        <w:rPr>
          <w:rFonts w:ascii="Times New Roman" w:hAnsi="Times New Roman" w:cs="Times New Roman"/>
          <w:bCs/>
          <w:sz w:val="20"/>
          <w:szCs w:val="20"/>
        </w:rPr>
      </w:pPr>
      <w:r w:rsidRPr="00B24021">
        <w:rPr>
          <w:rFonts w:ascii="Times New Roman" w:hAnsi="Times New Roman" w:cs="Times New Roman"/>
          <w:bCs/>
          <w:sz w:val="20"/>
          <w:szCs w:val="20"/>
          <w:vertAlign w:val="superscript"/>
        </w:rPr>
        <w:t>1</w:t>
      </w:r>
      <w:r w:rsidRPr="00B24021">
        <w:rPr>
          <w:rFonts w:ascii="Times New Roman" w:hAnsi="Times New Roman" w:cs="Times New Roman"/>
          <w:bCs/>
          <w:sz w:val="20"/>
          <w:szCs w:val="20"/>
        </w:rPr>
        <w:t>Assistant Professor, Department of Business and Management, Institute of Advanced Research, Gandhinagar, Gujarat. India. Email ID. somanand.saraswati@iar.ac.in</w:t>
      </w:r>
    </w:p>
    <w:p w14:paraId="22AA3E98" w14:textId="77777777" w:rsidR="00B24021" w:rsidRPr="00B24021" w:rsidRDefault="00B24021" w:rsidP="00B24021">
      <w:pPr>
        <w:spacing w:after="0"/>
        <w:jc w:val="both"/>
        <w:rPr>
          <w:rStyle w:val="Hyperlink"/>
          <w:rFonts w:ascii="Times New Roman" w:hAnsi="Times New Roman" w:cs="Times New Roman"/>
          <w:i/>
          <w:iCs/>
          <w:sz w:val="20"/>
          <w:szCs w:val="20"/>
        </w:rPr>
      </w:pPr>
    </w:p>
    <w:p w14:paraId="6081264F" w14:textId="52ACA677" w:rsidR="008457D9" w:rsidRPr="00B24021" w:rsidRDefault="004E0F15" w:rsidP="00B24021">
      <w:pPr>
        <w:pBdr>
          <w:top w:val="single" w:sz="18" w:space="1" w:color="7F7F7F" w:themeColor="text1" w:themeTint="80"/>
          <w:bottom w:val="single" w:sz="18" w:space="1" w:color="7F7F7F" w:themeColor="text1" w:themeTint="80"/>
        </w:pBdr>
        <w:spacing w:after="0"/>
        <w:jc w:val="both"/>
        <w:rPr>
          <w:rFonts w:ascii="Times New Roman" w:hAnsi="Times New Roman" w:cs="Times New Roman"/>
          <w:color w:val="000000" w:themeColor="text1"/>
          <w:sz w:val="20"/>
          <w:szCs w:val="20"/>
        </w:rPr>
      </w:pPr>
      <w:r w:rsidRPr="00B24021">
        <w:rPr>
          <w:rFonts w:ascii="Times New Roman" w:hAnsi="Times New Roman" w:cs="Times New Roman"/>
          <w:b/>
          <w:bCs/>
          <w:color w:val="000000" w:themeColor="text1"/>
          <w:sz w:val="20"/>
          <w:szCs w:val="20"/>
        </w:rPr>
        <w:t xml:space="preserve">How to cite this article: </w:t>
      </w:r>
      <w:r w:rsidR="00B24021" w:rsidRPr="00B24021">
        <w:rPr>
          <w:rFonts w:ascii="Times New Roman" w:hAnsi="Times New Roman" w:cs="Times New Roman"/>
          <w:color w:val="000000" w:themeColor="text1"/>
          <w:sz w:val="20"/>
          <w:szCs w:val="20"/>
        </w:rPr>
        <w:t xml:space="preserve">Dr. </w:t>
      </w:r>
      <w:proofErr w:type="spellStart"/>
      <w:r w:rsidR="00B24021" w:rsidRPr="00B24021">
        <w:rPr>
          <w:rFonts w:ascii="Times New Roman" w:hAnsi="Times New Roman" w:cs="Times New Roman"/>
          <w:color w:val="000000" w:themeColor="text1"/>
          <w:sz w:val="20"/>
          <w:szCs w:val="20"/>
        </w:rPr>
        <w:t>Somanand</w:t>
      </w:r>
      <w:proofErr w:type="spellEnd"/>
      <w:r w:rsidR="00B24021" w:rsidRPr="00B24021">
        <w:rPr>
          <w:rFonts w:ascii="Times New Roman" w:hAnsi="Times New Roman" w:cs="Times New Roman"/>
          <w:color w:val="000000" w:themeColor="text1"/>
          <w:sz w:val="20"/>
          <w:szCs w:val="20"/>
        </w:rPr>
        <w:t xml:space="preserve"> Saraswati </w:t>
      </w:r>
      <w:r w:rsidRPr="00B24021">
        <w:rPr>
          <w:rFonts w:ascii="Times New Roman" w:hAnsi="Times New Roman" w:cs="Times New Roman"/>
          <w:color w:val="000000" w:themeColor="text1"/>
          <w:sz w:val="20"/>
          <w:szCs w:val="20"/>
        </w:rPr>
        <w:t>(202</w:t>
      </w:r>
      <w:r w:rsidR="007A2C87">
        <w:rPr>
          <w:rFonts w:ascii="Times New Roman" w:hAnsi="Times New Roman" w:cs="Times New Roman"/>
          <w:color w:val="000000" w:themeColor="text1"/>
          <w:sz w:val="20"/>
          <w:szCs w:val="20"/>
        </w:rPr>
        <w:t>4</w:t>
      </w:r>
      <w:r w:rsidRPr="00B24021">
        <w:rPr>
          <w:rFonts w:ascii="Times New Roman" w:hAnsi="Times New Roman" w:cs="Times New Roman"/>
          <w:color w:val="000000" w:themeColor="text1"/>
          <w:sz w:val="20"/>
          <w:szCs w:val="20"/>
        </w:rPr>
        <w:t xml:space="preserve">). </w:t>
      </w:r>
      <w:r w:rsidR="00B24021" w:rsidRPr="00B24021">
        <w:rPr>
          <w:rFonts w:ascii="Times New Roman" w:hAnsi="Times New Roman" w:cs="Times New Roman"/>
          <w:bCs/>
          <w:color w:val="000000" w:themeColor="text1"/>
          <w:sz w:val="20"/>
          <w:szCs w:val="20"/>
        </w:rPr>
        <w:t>Libraries as Cultural Curators: The Place of Graphic Novels in Modern Collections</w:t>
      </w:r>
      <w:r w:rsidR="00924C47" w:rsidRPr="00B24021">
        <w:rPr>
          <w:rFonts w:ascii="Times New Roman" w:hAnsi="Times New Roman" w:cs="Times New Roman"/>
          <w:bCs/>
          <w:color w:val="000000" w:themeColor="text1"/>
          <w:sz w:val="20"/>
          <w:szCs w:val="20"/>
        </w:rPr>
        <w:t xml:space="preserve">. </w:t>
      </w:r>
      <w:r w:rsidR="008457D9" w:rsidRPr="00B24021">
        <w:rPr>
          <w:rFonts w:ascii="Times New Roman" w:hAnsi="Times New Roman" w:cs="Times New Roman"/>
          <w:i/>
          <w:iCs/>
          <w:color w:val="000000" w:themeColor="text1"/>
          <w:sz w:val="20"/>
          <w:szCs w:val="20"/>
        </w:rPr>
        <w:t xml:space="preserve"> Library Progress International,</w:t>
      </w:r>
      <w:r w:rsidR="008457D9" w:rsidRPr="00B24021">
        <w:rPr>
          <w:rFonts w:ascii="Times New Roman" w:hAnsi="Times New Roman" w:cs="Times New Roman"/>
          <w:color w:val="000000" w:themeColor="text1"/>
          <w:sz w:val="20"/>
          <w:szCs w:val="20"/>
        </w:rPr>
        <w:t xml:space="preserve"> 4</w:t>
      </w:r>
      <w:r w:rsidR="007A2C87">
        <w:rPr>
          <w:rFonts w:ascii="Times New Roman" w:hAnsi="Times New Roman" w:cs="Times New Roman"/>
          <w:color w:val="000000" w:themeColor="text1"/>
          <w:sz w:val="20"/>
          <w:szCs w:val="20"/>
        </w:rPr>
        <w:t>4</w:t>
      </w:r>
      <w:r w:rsidR="008457D9" w:rsidRPr="00B24021">
        <w:rPr>
          <w:rFonts w:ascii="Times New Roman" w:hAnsi="Times New Roman" w:cs="Times New Roman"/>
          <w:color w:val="000000" w:themeColor="text1"/>
          <w:sz w:val="20"/>
          <w:szCs w:val="20"/>
        </w:rPr>
        <w:t>(</w:t>
      </w:r>
      <w:r w:rsidR="007A2C87">
        <w:rPr>
          <w:rFonts w:ascii="Times New Roman" w:hAnsi="Times New Roman" w:cs="Times New Roman"/>
          <w:color w:val="000000" w:themeColor="text1"/>
          <w:sz w:val="20"/>
          <w:szCs w:val="20"/>
        </w:rPr>
        <w:t>6</w:t>
      </w:r>
      <w:r w:rsidR="008457D9" w:rsidRPr="00B24021">
        <w:rPr>
          <w:rFonts w:ascii="Times New Roman" w:hAnsi="Times New Roman" w:cs="Times New Roman"/>
          <w:color w:val="000000" w:themeColor="text1"/>
          <w:sz w:val="20"/>
          <w:szCs w:val="20"/>
        </w:rPr>
        <w:t xml:space="preserve">), </w:t>
      </w:r>
      <w:r w:rsidR="007A2C87">
        <w:rPr>
          <w:rFonts w:ascii="Times New Roman" w:hAnsi="Times New Roman" w:cs="Times New Roman"/>
          <w:color w:val="000000" w:themeColor="text1"/>
          <w:sz w:val="20"/>
          <w:szCs w:val="20"/>
        </w:rPr>
        <w:t>1067-1070</w:t>
      </w:r>
    </w:p>
    <w:p w14:paraId="3DECD8C8" w14:textId="2CD21CA1" w:rsidR="008457D9" w:rsidRPr="00B24021" w:rsidRDefault="008457D9" w:rsidP="00B24021">
      <w:pPr>
        <w:pBdr>
          <w:top w:val="single" w:sz="18" w:space="1" w:color="7F7F7F" w:themeColor="text1" w:themeTint="80"/>
          <w:bottom w:val="single" w:sz="18" w:space="1" w:color="7F7F7F" w:themeColor="text1" w:themeTint="80"/>
        </w:pBdr>
        <w:spacing w:after="0"/>
        <w:jc w:val="both"/>
        <w:rPr>
          <w:rFonts w:ascii="Times New Roman" w:hAnsi="Times New Roman" w:cs="Times New Roman"/>
          <w:color w:val="000000" w:themeColor="text1"/>
          <w:sz w:val="20"/>
          <w:szCs w:val="20"/>
        </w:rPr>
      </w:pPr>
    </w:p>
    <w:p w14:paraId="3FF153DE" w14:textId="77777777" w:rsidR="00B24021" w:rsidRPr="00B24021" w:rsidRDefault="00B24021" w:rsidP="00B24021">
      <w:pPr>
        <w:spacing w:after="0"/>
        <w:jc w:val="both"/>
        <w:rPr>
          <w:rFonts w:ascii="Times New Roman" w:hAnsi="Times New Roman" w:cs="Times New Roman"/>
          <w:sz w:val="20"/>
          <w:szCs w:val="20"/>
        </w:rPr>
      </w:pPr>
      <w:r w:rsidRPr="00B24021">
        <w:rPr>
          <w:rStyle w:val="Strong"/>
          <w:rFonts w:ascii="Times New Roman" w:hAnsi="Times New Roman" w:cs="Times New Roman"/>
          <w:sz w:val="20"/>
          <w:szCs w:val="20"/>
        </w:rPr>
        <w:t>ABSTRACT</w:t>
      </w:r>
      <w:r w:rsidRPr="00B24021">
        <w:rPr>
          <w:rFonts w:ascii="Times New Roman" w:hAnsi="Times New Roman" w:cs="Times New Roman"/>
          <w:sz w:val="20"/>
          <w:szCs w:val="20"/>
        </w:rPr>
        <w:br/>
        <w:t xml:space="preserve">Libraries have long been sanctuaries for classical and canonized literature, preserving the works that define cultural and intellectual heritage. These spaces have traditionally prioritized text-based narratives, often overlooking the rich storytelling potential of graphic literature. However, as perceptions of literary value evolve, graphic novels and other visual narratives are finding a foothold in library collections. This paper traces the journey of graphic literature from the fringes of literary recognition to its integration into libraries as a legitimate and valued medium. Through a qualitative lens, it examines how graphic novels challenge traditional literary hierarchies, appeal to diverse audiences, and contribute to visual literacy and cultural discourse. The study highlights the pivotal role libraries play in redefining what constitutes "worthy" literature, ensuring inclusivity, and adapting to changing reader preferences. By exploring this transition, the paper underscores the transformative power of libraries as dynamic institutions that embrace new forms of storytelling while honoring their classical foundations. </w:t>
      </w:r>
    </w:p>
    <w:p w14:paraId="282B4231" w14:textId="77777777" w:rsidR="00B24021" w:rsidRPr="00B24021" w:rsidRDefault="00B24021" w:rsidP="00B24021">
      <w:pPr>
        <w:spacing w:after="0"/>
        <w:jc w:val="both"/>
        <w:rPr>
          <w:rFonts w:ascii="Times New Roman" w:hAnsi="Times New Roman" w:cs="Times New Roman"/>
          <w:sz w:val="20"/>
          <w:szCs w:val="20"/>
        </w:rPr>
      </w:pPr>
    </w:p>
    <w:p w14:paraId="1E9723C6"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b/>
          <w:bCs/>
          <w:sz w:val="20"/>
          <w:szCs w:val="20"/>
          <w:lang w:eastAsia="en-IN"/>
        </w:rPr>
        <w:t>Keywords: Graphic Novels, Comics, Library, Canonized Literature, Storytelling</w:t>
      </w:r>
    </w:p>
    <w:p w14:paraId="78E813A0" w14:textId="77777777" w:rsidR="00B24021" w:rsidRPr="00B24021" w:rsidRDefault="00B24021" w:rsidP="00B24021">
      <w:pPr>
        <w:spacing w:after="0"/>
        <w:jc w:val="both"/>
        <w:rPr>
          <w:rFonts w:ascii="Times New Roman" w:hAnsi="Times New Roman" w:cs="Times New Roman"/>
          <w:b/>
          <w:sz w:val="24"/>
          <w:szCs w:val="24"/>
          <w:vertAlign w:val="superscript"/>
          <w:lang w:val="sv-SE"/>
        </w:rPr>
      </w:pPr>
    </w:p>
    <w:p w14:paraId="274431D5" w14:textId="6180EB98" w:rsidR="00B24021" w:rsidRPr="00B24021" w:rsidRDefault="00B24021" w:rsidP="00B24021">
      <w:pPr>
        <w:spacing w:after="0"/>
        <w:jc w:val="both"/>
        <w:rPr>
          <w:rFonts w:ascii="Times New Roman" w:hAnsi="Times New Roman" w:cs="Times New Roman"/>
          <w:b/>
          <w:sz w:val="20"/>
          <w:szCs w:val="20"/>
          <w:lang w:val="sv-SE"/>
        </w:rPr>
      </w:pPr>
      <w:r w:rsidRPr="00B24021">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65DC6585" wp14:editId="532F87FE">
                <wp:simplePos x="0" y="0"/>
                <wp:positionH relativeFrom="column">
                  <wp:posOffset>0</wp:posOffset>
                </wp:positionH>
                <wp:positionV relativeFrom="paragraph">
                  <wp:posOffset>0</wp:posOffset>
                </wp:positionV>
                <wp:extent cx="6134100" cy="0"/>
                <wp:effectExtent l="0" t="0" r="0" b="0"/>
                <wp:wrapNone/>
                <wp:docPr id="489177654" name="Straight Connector 14"/>
                <wp:cNvGraphicFramePr/>
                <a:graphic xmlns:a="http://schemas.openxmlformats.org/drawingml/2006/main">
                  <a:graphicData uri="http://schemas.microsoft.com/office/word/2010/wordprocessingShape">
                    <wps:wsp>
                      <wps:cNvCnPr/>
                      <wps:spPr>
                        <a:xfrm>
                          <a:off x="0" y="0"/>
                          <a:ext cx="613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A925F7" id="Straight Connector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 to="48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ymAEAAIgDAAAOAAAAZHJzL2Uyb0RvYy54bWysU9uO0zAQfUfiHyy/0yQLWq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" strokecolor="black [3040]"/>
            </w:pict>
          </mc:Fallback>
        </mc:AlternateContent>
      </w:r>
    </w:p>
    <w:p w14:paraId="7E38761E" w14:textId="77777777" w:rsidR="00B24021" w:rsidRPr="00B24021" w:rsidRDefault="00B24021" w:rsidP="00B24021">
      <w:pPr>
        <w:pStyle w:val="ListParagraph"/>
        <w:numPr>
          <w:ilvl w:val="1"/>
          <w:numId w:val="38"/>
        </w:num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b/>
          <w:bCs/>
          <w:sz w:val="20"/>
          <w:szCs w:val="20"/>
          <w:lang w:eastAsia="en-IN"/>
        </w:rPr>
        <w:t>INTRODUCTION</w:t>
      </w:r>
    </w:p>
    <w:p w14:paraId="57185083"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Libraries have traditionally served as custodians of classical and canonized literature, preserving the intellectual and cultural foundations of societies. For centuries, these institutions have provided access to works that define literary traditions and intellectual thought, from epic poems to philosophical treatises. In doing so, they have established themselves as gatekeepers of knowledge and arbiters of literary value. However, this privileging of text-heavy and "high-brow" literature has often marginalized other forms of storytelling, including graphic literature.</w:t>
      </w:r>
    </w:p>
    <w:p w14:paraId="5AD595EB"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 xml:space="preserve">Graphic novels, a medium that blends visual artistry with narrative depth, have historically struggled to gain acceptance as a legitimate literary form. Critics often dismissed these works as mere entertainment, relegating them to the periphery of library collections or excluding them entirely. Yet, in recent decades, the perception of graphic literature has shifted dramatically. Works like Art Spiegelman’s </w:t>
      </w:r>
      <w:r w:rsidRPr="00B24021">
        <w:rPr>
          <w:rFonts w:ascii="Times New Roman" w:eastAsia="Times New Roman" w:hAnsi="Times New Roman" w:cs="Times New Roman"/>
          <w:i/>
          <w:iCs/>
          <w:sz w:val="20"/>
          <w:szCs w:val="20"/>
          <w:lang w:eastAsia="en-IN"/>
        </w:rPr>
        <w:t>Maus</w:t>
      </w:r>
      <w:r w:rsidRPr="00B24021">
        <w:rPr>
          <w:rFonts w:ascii="Times New Roman" w:eastAsia="Times New Roman" w:hAnsi="Times New Roman" w:cs="Times New Roman"/>
          <w:sz w:val="20"/>
          <w:szCs w:val="20"/>
          <w:lang w:eastAsia="en-IN"/>
        </w:rPr>
        <w:t xml:space="preserve">, Marjane Satrapi’s </w:t>
      </w:r>
      <w:r w:rsidRPr="00B24021">
        <w:rPr>
          <w:rFonts w:ascii="Times New Roman" w:eastAsia="Times New Roman" w:hAnsi="Times New Roman" w:cs="Times New Roman"/>
          <w:i/>
          <w:iCs/>
          <w:sz w:val="20"/>
          <w:szCs w:val="20"/>
          <w:lang w:eastAsia="en-IN"/>
        </w:rPr>
        <w:t>Persepolis</w:t>
      </w:r>
      <w:r w:rsidRPr="00B24021">
        <w:rPr>
          <w:rFonts w:ascii="Times New Roman" w:eastAsia="Times New Roman" w:hAnsi="Times New Roman" w:cs="Times New Roman"/>
          <w:sz w:val="20"/>
          <w:szCs w:val="20"/>
          <w:lang w:eastAsia="en-IN"/>
        </w:rPr>
        <w:t xml:space="preserve">, and Alison Bechdel’s </w:t>
      </w:r>
      <w:r w:rsidRPr="00B24021">
        <w:rPr>
          <w:rFonts w:ascii="Times New Roman" w:eastAsia="Times New Roman" w:hAnsi="Times New Roman" w:cs="Times New Roman"/>
          <w:i/>
          <w:iCs/>
          <w:sz w:val="20"/>
          <w:szCs w:val="20"/>
          <w:lang w:eastAsia="en-IN"/>
        </w:rPr>
        <w:t>Fun Home</w:t>
      </w:r>
      <w:r w:rsidRPr="00B24021">
        <w:rPr>
          <w:rFonts w:ascii="Times New Roman" w:eastAsia="Times New Roman" w:hAnsi="Times New Roman" w:cs="Times New Roman"/>
          <w:sz w:val="20"/>
          <w:szCs w:val="20"/>
          <w:lang w:eastAsia="en-IN"/>
        </w:rPr>
        <w:t xml:space="preserve"> have garnered critical acclaim and demonstrated the medium's ability to address complex themes with nuance and sophistication.</w:t>
      </w:r>
    </w:p>
    <w:p w14:paraId="4EE53A87"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This paper explores the journey of graphic literature into libraries, focusing on how it has transitioned from being overlooked to becoming an integral part of diverse and inclusive collections. Using a qualitative approach, the research examines the evolving role of libraries in challenging traditional literary hierarchies and embracing new forms of storytelling. It considers how graphic novels align with the mission of libraries to foster literacy, democratize access to knowledge, and reflect diverse cultural narratives.</w:t>
      </w:r>
    </w:p>
    <w:p w14:paraId="4B0324EF"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By analyzing this progression, the study sheds light on the broader implications for libraries as dynamic institutions that adapt to the changing needs and preferences of their communities. It also underscores the importance of recognizing graphic literature as a vital component of contemporary literary culture, capable of bridging gaps between traditional and modern storytelling, and reaching audiences often underserved by classical literary collections.</w:t>
      </w:r>
    </w:p>
    <w:p w14:paraId="52ACC123" w14:textId="77777777" w:rsidR="00B24021" w:rsidRPr="00B24021" w:rsidRDefault="00B24021" w:rsidP="00B24021">
      <w:pPr>
        <w:spacing w:after="0"/>
        <w:jc w:val="both"/>
        <w:rPr>
          <w:rFonts w:ascii="Times New Roman" w:eastAsia="Times New Roman" w:hAnsi="Times New Roman" w:cs="Times New Roman"/>
          <w:b/>
          <w:bCs/>
          <w:sz w:val="20"/>
          <w:szCs w:val="20"/>
          <w:lang w:eastAsia="en-IN"/>
        </w:rPr>
      </w:pPr>
    </w:p>
    <w:p w14:paraId="487A2D29"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b/>
          <w:bCs/>
          <w:sz w:val="20"/>
          <w:szCs w:val="20"/>
          <w:lang w:eastAsia="en-IN"/>
        </w:rPr>
        <w:lastRenderedPageBreak/>
        <w:t>1.2 HISTORIC OVERVIEW</w:t>
      </w:r>
    </w:p>
    <w:p w14:paraId="122368BF"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The relationship between libraries and graphic novels has emerged as an area of growing interest among scholars and practitioners in the fields of library science and literary studies. While libraries have traditionally been viewed as repositories of classical and canonized literature, the inclusion of graphic novels has reshaped their collections, fostering greater accessibility and diversity. This section reviews existing research on the correlation between libraries and graphic novels, focusing on the historical neglect of graphic literature, its gradual recognition as a valuable literary form, and the role libraries play in legitimizing and promoting this medium.</w:t>
      </w:r>
    </w:p>
    <w:p w14:paraId="73761B9C"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 xml:space="preserve">Historically, libraries have served as gatekeepers of "high culture," prioritizing works of established literary merit while marginalizing genres and forms considered non-traditional or "low-brow." Scholars such as Radford and Radford (2001) highlight how the curation practices of libraries have been influenced by cultural hierarchies, often excluding materials that fall outside the purview of classical literature. This exclusion has historically included graphic novels, which were dismissed for their perceived lack of intellectual depth and literary value. The works of McCloud (1993) and </w:t>
      </w:r>
      <w:proofErr w:type="spellStart"/>
      <w:r w:rsidRPr="00B24021">
        <w:rPr>
          <w:rFonts w:ascii="Times New Roman" w:eastAsia="Times New Roman" w:hAnsi="Times New Roman" w:cs="Times New Roman"/>
          <w:sz w:val="20"/>
          <w:szCs w:val="20"/>
          <w:lang w:eastAsia="en-IN"/>
        </w:rPr>
        <w:t>Groensteen</w:t>
      </w:r>
      <w:proofErr w:type="spellEnd"/>
      <w:r w:rsidRPr="00B24021">
        <w:rPr>
          <w:rFonts w:ascii="Times New Roman" w:eastAsia="Times New Roman" w:hAnsi="Times New Roman" w:cs="Times New Roman"/>
          <w:sz w:val="20"/>
          <w:szCs w:val="20"/>
          <w:lang w:eastAsia="en-IN"/>
        </w:rPr>
        <w:t xml:space="preserve"> (2007), though primarily focused on the medium of comics, have been influential in challenging this perception, arguing for the narrative and artistic complexity of graphic storytelling.</w:t>
      </w:r>
    </w:p>
    <w:p w14:paraId="150E20AB"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The past few decades have witnessed a paradigm shift in how graphic novels are perceived. Scholars such as Chute (2010) and Hatfield (2005) have argued for the legitimacy of graphic novels as a form of literature, emphasizing their ability to convey complex themes through the interplay of text and visuals. Graphic novels have been recognized for their potential to engage readers in ways that traditional literature cannot, particularly by appealing to visual learners and individuals who struggle with conventional text-heavy formats. Public librarians, as noted by Weiner (2003), have been at the forefront of advocating for the inclusion of graphic novels, recognizing their potential to attract younger readers and underserved demographics.</w:t>
      </w:r>
    </w:p>
    <w:p w14:paraId="5A07F04C"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Libraries have played a crucial role in legitimizing graphic novels by including them in their collections and programming. Scholars such as Gavigan (2012) and Moeller (2013) emphasize how graphic novels align with the mission of libraries to promote literacy and foster inclusivity. Gavigan’s research highlights how graphic novels can serve as a gateway for reluctant readers, bridging the gap between visual and textual literacy. Similarly, public libraries have integrated graphic novels into their young adult and children’s sections to foster engagement and improve literacy rates, as documented by Carter (2007).</w:t>
      </w:r>
    </w:p>
    <w:p w14:paraId="7D9A8BF1"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Moreover, academic libraries have increasingly embraced graphic novels as tools for interdisciplinary education. For instance, Versaci (2001) discusses the use of graphic novels in higher education to explore themes such as identity, trauma, and historical memory. Libraries, in this context, have become platforms for showcasing the academic and cultural value of graphic novels, hosting events, and curating collections that challenge traditional literary norms.</w:t>
      </w:r>
    </w:p>
    <w:p w14:paraId="2CF791D1"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Despite their growing presence, graphic novels still face challenges in gaining full acceptance within library collections. Scholars like Beaty (2012) point to lingering biases against the medium, particularly in academic libraries, where graphic novels are sometimes perceived as supplementary rather than central to literary discourse. Additionally, funding constraints and the prioritization of traditional resources often limit the acquisition of graphic novels in public and school libraries.</w:t>
      </w:r>
    </w:p>
    <w:p w14:paraId="30A1BCBE" w14:textId="77777777" w:rsidR="00B24021" w:rsidRPr="00B24021" w:rsidRDefault="00B24021" w:rsidP="00B24021">
      <w:pPr>
        <w:spacing w:after="0"/>
        <w:jc w:val="both"/>
        <w:rPr>
          <w:rFonts w:ascii="Times New Roman" w:eastAsia="Times New Roman" w:hAnsi="Times New Roman" w:cs="Times New Roman"/>
          <w:sz w:val="20"/>
          <w:szCs w:val="20"/>
          <w:lang w:eastAsia="en-IN"/>
        </w:rPr>
      </w:pPr>
      <w:r w:rsidRPr="00B24021">
        <w:rPr>
          <w:rFonts w:ascii="Times New Roman" w:eastAsia="Times New Roman" w:hAnsi="Times New Roman" w:cs="Times New Roman"/>
          <w:sz w:val="20"/>
          <w:szCs w:val="20"/>
          <w:lang w:eastAsia="en-IN"/>
        </w:rPr>
        <w:t>However, the opportunities presented by graphic novels far outweigh these challenges. Research by Karp (2013) and Gibson (2015) underscores the role of libraries as cultural institutions that can democratize access to diverse narratives. Graphic novels provide a platform for underrepresented voices, including works that explore issues of race, gender, and social justice, aligning with the evolving mission of libraries to reflect the diversity of their communities.</w:t>
      </w:r>
    </w:p>
    <w:p w14:paraId="47D2993E" w14:textId="77777777" w:rsidR="00B24021" w:rsidRPr="00B24021" w:rsidRDefault="00B24021" w:rsidP="00B24021">
      <w:pPr>
        <w:spacing w:after="0"/>
        <w:jc w:val="both"/>
        <w:rPr>
          <w:rFonts w:ascii="Times New Roman" w:hAnsi="Times New Roman" w:cs="Times New Roman"/>
          <w:sz w:val="20"/>
          <w:szCs w:val="20"/>
        </w:rPr>
      </w:pPr>
    </w:p>
    <w:p w14:paraId="754DBFA7" w14:textId="77777777" w:rsidR="00B24021" w:rsidRPr="00B24021" w:rsidRDefault="00B24021" w:rsidP="00B24021">
      <w:pPr>
        <w:spacing w:after="0"/>
        <w:jc w:val="both"/>
        <w:rPr>
          <w:rFonts w:ascii="Times New Roman" w:hAnsi="Times New Roman" w:cs="Times New Roman"/>
          <w:b/>
          <w:sz w:val="20"/>
          <w:szCs w:val="20"/>
        </w:rPr>
      </w:pPr>
      <w:r w:rsidRPr="00B24021">
        <w:rPr>
          <w:rFonts w:ascii="Times New Roman" w:hAnsi="Times New Roman" w:cs="Times New Roman"/>
          <w:b/>
          <w:sz w:val="20"/>
          <w:szCs w:val="20"/>
        </w:rPr>
        <w:t>1.3 GRAPHIC NOVELS IN LIBRARIES</w:t>
      </w:r>
    </w:p>
    <w:p w14:paraId="42BE6B98"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Libraries have long adhered to literary hierarchies that prioritize text-based narratives. Radford and Radford (2001) discuss how libraries, as cultural institutions, have historically upheld notions of "high" literature while marginalizing nontraditional forms like comics and graphic novels. This marginalization was rooted in the perception of graphic novels as juvenile, unserious, or lacking intellectual depth.</w:t>
      </w:r>
    </w:p>
    <w:p w14:paraId="1E327EDC" w14:textId="77777777" w:rsidR="00B24021" w:rsidRPr="00B24021" w:rsidRDefault="00B24021" w:rsidP="00B24021">
      <w:pPr>
        <w:spacing w:after="0"/>
        <w:jc w:val="both"/>
        <w:rPr>
          <w:rFonts w:ascii="Times New Roman" w:hAnsi="Times New Roman" w:cs="Times New Roman"/>
          <w:sz w:val="20"/>
          <w:szCs w:val="20"/>
        </w:rPr>
      </w:pPr>
    </w:p>
    <w:p w14:paraId="12399332"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However, the 1980s marked a turning point for graphic literature. Works such as Art Spiegelman’s Maus and Alan Moore’s Watchmen demonstrated the medium’s capacity for sophistication and narrative complexity, challenging traditional assumptions. These landmark publications paved the way for libraries to reconsider their exclusion of graphic novels and acknowledge their literary merit.</w:t>
      </w:r>
    </w:p>
    <w:p w14:paraId="45D08D67"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Libraries have a dual mission: to preserve cultural heritage and to democratize access to knowledge. Graphic novels align with both aspects of this mission. Weiner (2003) argues that graphic novels can attract younger and reluctant readers, serving as a gateway to literacy. Gavigan (2012) supports this view, highlighting how graphic novels blend visual and </w:t>
      </w:r>
      <w:r w:rsidRPr="00B24021">
        <w:rPr>
          <w:rFonts w:ascii="Times New Roman" w:hAnsi="Times New Roman" w:cs="Times New Roman"/>
          <w:sz w:val="20"/>
          <w:szCs w:val="20"/>
        </w:rPr>
        <w:lastRenderedPageBreak/>
        <w:t>textual elements to engage readers who struggle with traditional formats. By including graphic novels, libraries fulfill their role as inclusive institutions that cater to diverse learning styles and preferences.</w:t>
      </w:r>
    </w:p>
    <w:p w14:paraId="6CCD70A5"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Moreover, graphic novels often tackle themes of social justice, identity, and historical memory, aligning with the educational and cultural goals of libraries. Versaci (2001) discusses how graphic novels like Marjane Satrapi’s Persepolis and Alison Bechdel’s Fun Home provide nuanced explorations of topics such as war, trauma, and gender. These works enrich library collections by offering perspectives often underrepresented in classical literature.</w:t>
      </w:r>
    </w:p>
    <w:p w14:paraId="20676E0B" w14:textId="77777777" w:rsidR="00B24021" w:rsidRPr="00B24021" w:rsidRDefault="00B24021" w:rsidP="00B24021">
      <w:pPr>
        <w:spacing w:after="0"/>
        <w:jc w:val="both"/>
        <w:rPr>
          <w:rFonts w:ascii="Times New Roman" w:hAnsi="Times New Roman" w:cs="Times New Roman"/>
          <w:sz w:val="20"/>
          <w:szCs w:val="20"/>
        </w:rPr>
      </w:pPr>
    </w:p>
    <w:p w14:paraId="3AF55877"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Despite their growing recognition, graphic novels still face barriers to full acceptance in library collections. Beaty (2012) notes lingering biases against the medium, particularly in academic libraries, where graphic novels are often seen as supplementary rather than central to literary discourse. Funding constraints and competing priorities further limit the acquisition of graphic novels, especially in public and school libraries.</w:t>
      </w:r>
    </w:p>
    <w:p w14:paraId="714F971B" w14:textId="77777777" w:rsidR="00B24021" w:rsidRPr="00B24021" w:rsidRDefault="00B24021" w:rsidP="00B24021">
      <w:pPr>
        <w:spacing w:after="0"/>
        <w:jc w:val="both"/>
        <w:rPr>
          <w:rFonts w:ascii="Times New Roman" w:hAnsi="Times New Roman" w:cs="Times New Roman"/>
          <w:sz w:val="20"/>
          <w:szCs w:val="20"/>
        </w:rPr>
      </w:pPr>
    </w:p>
    <w:p w14:paraId="1564EAC3"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Another challenge is the perception of graphic novels as niche or genre-specific. While superhero comics dominate popular imagination, the diversity of graphic literature—from memoirs and historical accounts to adaptations of classical works—remains underappreciated. Libraries must work to challenge these stereotypes and showcase the breadth of the medium.</w:t>
      </w:r>
    </w:p>
    <w:p w14:paraId="5B8EE95E" w14:textId="77777777" w:rsidR="00B24021" w:rsidRPr="00B24021" w:rsidRDefault="00B24021" w:rsidP="00B24021">
      <w:pPr>
        <w:spacing w:after="0"/>
        <w:jc w:val="both"/>
        <w:rPr>
          <w:rFonts w:ascii="Times New Roman" w:hAnsi="Times New Roman" w:cs="Times New Roman"/>
          <w:b/>
          <w:sz w:val="20"/>
          <w:szCs w:val="20"/>
        </w:rPr>
      </w:pPr>
    </w:p>
    <w:p w14:paraId="149BB3A3" w14:textId="77777777" w:rsidR="00B24021" w:rsidRPr="00B24021" w:rsidRDefault="00B24021" w:rsidP="00B24021">
      <w:pPr>
        <w:spacing w:after="0"/>
        <w:jc w:val="both"/>
        <w:rPr>
          <w:rFonts w:ascii="Times New Roman" w:hAnsi="Times New Roman" w:cs="Times New Roman"/>
          <w:b/>
          <w:sz w:val="20"/>
          <w:szCs w:val="20"/>
        </w:rPr>
      </w:pPr>
      <w:r w:rsidRPr="00B24021">
        <w:rPr>
          <w:rFonts w:ascii="Times New Roman" w:hAnsi="Times New Roman" w:cs="Times New Roman"/>
          <w:b/>
          <w:sz w:val="20"/>
          <w:szCs w:val="20"/>
        </w:rPr>
        <w:t>1.4 WORTH OF GRAPHIC NOVELS</w:t>
      </w:r>
    </w:p>
    <w:p w14:paraId="34472AB0"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The worthiness of graphic novels lies in their ability to combine textual and visual storytelling, creating a unique narrative experience that transcends traditional literary forms. McCloud (1993) and </w:t>
      </w:r>
      <w:proofErr w:type="spellStart"/>
      <w:r w:rsidRPr="00B24021">
        <w:rPr>
          <w:rFonts w:ascii="Times New Roman" w:hAnsi="Times New Roman" w:cs="Times New Roman"/>
          <w:sz w:val="20"/>
          <w:szCs w:val="20"/>
        </w:rPr>
        <w:t>Groensteen</w:t>
      </w:r>
      <w:proofErr w:type="spellEnd"/>
      <w:r w:rsidRPr="00B24021">
        <w:rPr>
          <w:rFonts w:ascii="Times New Roman" w:hAnsi="Times New Roman" w:cs="Times New Roman"/>
          <w:sz w:val="20"/>
          <w:szCs w:val="20"/>
        </w:rPr>
        <w:t xml:space="preserve"> (2007) have demonstrated how the interplay of text and image allows graphic novels to convey meaning in ways that words alone cannot. This multimodal approach enhances comprehension, particularly for visual learners and readers with language barriers.</w:t>
      </w:r>
    </w:p>
    <w:p w14:paraId="293D7DCD" w14:textId="77777777" w:rsidR="00B24021" w:rsidRPr="00B24021" w:rsidRDefault="00B24021" w:rsidP="00B24021">
      <w:pPr>
        <w:spacing w:after="0"/>
        <w:jc w:val="both"/>
        <w:rPr>
          <w:rFonts w:ascii="Times New Roman" w:hAnsi="Times New Roman" w:cs="Times New Roman"/>
          <w:sz w:val="20"/>
          <w:szCs w:val="20"/>
        </w:rPr>
      </w:pPr>
    </w:p>
    <w:p w14:paraId="370FEF79"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Graphic novels also contribute to cultural literacy by addressing contemporary issues and amplifying diverse voices. Works like Gene Luen Yang’s American Born Chinese and Ta-Nehisi Coates’ Black Panther series reflect the experiences of marginalized communities, making libraries more representative of the societies they serve. By curating such works, libraries affirm their commitment to inclusivity and social relevance.</w:t>
      </w:r>
    </w:p>
    <w:p w14:paraId="7962D22A" w14:textId="77777777" w:rsidR="00B24021" w:rsidRPr="00B24021" w:rsidRDefault="00B24021" w:rsidP="00B24021">
      <w:pPr>
        <w:spacing w:after="0"/>
        <w:jc w:val="both"/>
        <w:rPr>
          <w:rFonts w:ascii="Times New Roman" w:hAnsi="Times New Roman" w:cs="Times New Roman"/>
          <w:sz w:val="20"/>
          <w:szCs w:val="20"/>
        </w:rPr>
      </w:pPr>
    </w:p>
    <w:p w14:paraId="5F2593F6"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Educationally, graphic novels have proven effective in engaging students across disciplines. Moeller (2013) discusses how graphic novels are used in classrooms to teach history, science, and even mathematics. Their ability to simplify complex concepts while maintaining narrative depth makes them valuable educational tools that align with the informational goals of libraries.</w:t>
      </w:r>
    </w:p>
    <w:p w14:paraId="3FAA2433" w14:textId="77777777" w:rsidR="00B24021" w:rsidRPr="00B24021" w:rsidRDefault="00B24021" w:rsidP="00B24021">
      <w:pPr>
        <w:spacing w:after="0"/>
        <w:jc w:val="both"/>
        <w:rPr>
          <w:rFonts w:ascii="Times New Roman" w:hAnsi="Times New Roman" w:cs="Times New Roman"/>
          <w:sz w:val="20"/>
          <w:szCs w:val="20"/>
        </w:rPr>
      </w:pPr>
    </w:p>
    <w:p w14:paraId="7D3B9E94"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Libraries have become pivotal in legitimizing graphic novels, integrating them into collections, programming, and outreach. Public libraries have embraced graphic novels as a means of fostering community engagement, hosting events such as graphic novel book clubs and artist talks. Academic libraries, too, are recognizing the scholarly potential of graphic novels, building dedicated collections and incorporating them into interdisciplinary research.</w:t>
      </w:r>
    </w:p>
    <w:p w14:paraId="733F7CBD" w14:textId="77777777" w:rsidR="00B24021" w:rsidRPr="00B24021" w:rsidRDefault="00B24021" w:rsidP="00B24021">
      <w:pPr>
        <w:spacing w:after="0"/>
        <w:jc w:val="both"/>
        <w:rPr>
          <w:rFonts w:ascii="Times New Roman" w:hAnsi="Times New Roman" w:cs="Times New Roman"/>
          <w:sz w:val="20"/>
          <w:szCs w:val="20"/>
        </w:rPr>
      </w:pPr>
    </w:p>
    <w:p w14:paraId="65A14AEE"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Gibson (2015) argues that libraries have a responsibility to challenge traditional literary hierarchies and advocate for the inclusion of diverse forms of storytelling. By prioritizing graphic novels, libraries not only expand their collections but also redefine their role as dynamic institutions that adapt to cultural and literary shifts.</w:t>
      </w:r>
    </w:p>
    <w:p w14:paraId="77C4786E" w14:textId="77777777" w:rsidR="00B24021" w:rsidRPr="00B24021" w:rsidRDefault="00B24021" w:rsidP="00B24021">
      <w:pPr>
        <w:spacing w:after="0"/>
        <w:jc w:val="both"/>
        <w:rPr>
          <w:rFonts w:ascii="Times New Roman" w:hAnsi="Times New Roman" w:cs="Times New Roman"/>
          <w:sz w:val="20"/>
          <w:szCs w:val="20"/>
        </w:rPr>
      </w:pPr>
    </w:p>
    <w:p w14:paraId="474D0A59" w14:textId="77777777" w:rsidR="00B24021" w:rsidRPr="00B24021" w:rsidRDefault="00B24021" w:rsidP="00B24021">
      <w:pPr>
        <w:spacing w:after="0"/>
        <w:jc w:val="both"/>
        <w:rPr>
          <w:rFonts w:ascii="Times New Roman" w:hAnsi="Times New Roman" w:cs="Times New Roman"/>
          <w:b/>
          <w:sz w:val="20"/>
          <w:szCs w:val="20"/>
        </w:rPr>
      </w:pPr>
      <w:r w:rsidRPr="00B24021">
        <w:rPr>
          <w:rFonts w:ascii="Times New Roman" w:hAnsi="Times New Roman" w:cs="Times New Roman"/>
          <w:b/>
          <w:sz w:val="20"/>
          <w:szCs w:val="20"/>
        </w:rPr>
        <w:t>1.5 CONCLUSION</w:t>
      </w:r>
    </w:p>
    <w:p w14:paraId="7192D1DE"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The inclusion of graphic novels in libraries represents a significant shift in how literary value is defined and curated. From their historical marginalization to their growing acceptance, graphic novels have proven their worth as a legitimate and valuable form of storytelling. Libraries, as cultural and educational institutions, play a crucial role in advocating for this medium, ensuring that their collections reflect the diversity and complexity of contemporary literature. By embracing graphic novels, libraries fulfill their mission to democratize access to knowledge, foster inclusivity, and adapt to the evolving needs of their communities.</w:t>
      </w:r>
    </w:p>
    <w:p w14:paraId="288A342D" w14:textId="77777777" w:rsidR="00B24021" w:rsidRPr="00B24021" w:rsidRDefault="00B24021" w:rsidP="00B24021">
      <w:pPr>
        <w:spacing w:after="0"/>
        <w:jc w:val="both"/>
        <w:rPr>
          <w:rFonts w:ascii="Times New Roman" w:hAnsi="Times New Roman" w:cs="Times New Roman"/>
          <w:sz w:val="20"/>
          <w:szCs w:val="20"/>
        </w:rPr>
      </w:pPr>
    </w:p>
    <w:p w14:paraId="59006602" w14:textId="77777777" w:rsidR="00B24021" w:rsidRPr="00B24021" w:rsidRDefault="00B24021" w:rsidP="00B24021">
      <w:pPr>
        <w:spacing w:after="0"/>
        <w:jc w:val="both"/>
        <w:rPr>
          <w:rFonts w:ascii="Times New Roman" w:hAnsi="Times New Roman" w:cs="Times New Roman"/>
          <w:sz w:val="20"/>
          <w:szCs w:val="20"/>
        </w:rPr>
      </w:pPr>
      <w:r w:rsidRPr="00B24021">
        <w:rPr>
          <w:rFonts w:ascii="Times New Roman" w:hAnsi="Times New Roman" w:cs="Times New Roman"/>
          <w:sz w:val="20"/>
          <w:szCs w:val="20"/>
        </w:rPr>
        <w:t>As this paper has demonstrated, graphic novels are not merely worthy of inclusion in libraries—they are essential to their future. They challenge traditional notions of literature, engage diverse audiences, and enrich cultural discourse, making libraries more vibrant and relevant than ever before.</w:t>
      </w:r>
    </w:p>
    <w:p w14:paraId="7F563563" w14:textId="77777777" w:rsidR="00B24021" w:rsidRPr="00B24021" w:rsidRDefault="00B24021" w:rsidP="00B24021">
      <w:pPr>
        <w:spacing w:after="0"/>
        <w:jc w:val="both"/>
        <w:rPr>
          <w:rFonts w:ascii="Times New Roman" w:hAnsi="Times New Roman" w:cs="Times New Roman"/>
          <w:sz w:val="20"/>
          <w:szCs w:val="20"/>
        </w:rPr>
      </w:pPr>
    </w:p>
    <w:p w14:paraId="294B0EED" w14:textId="77777777" w:rsidR="00B24021" w:rsidRPr="00B24021" w:rsidRDefault="00B24021" w:rsidP="00B24021">
      <w:pPr>
        <w:spacing w:after="0"/>
        <w:jc w:val="both"/>
        <w:rPr>
          <w:rFonts w:ascii="Times New Roman" w:hAnsi="Times New Roman" w:cs="Times New Roman"/>
          <w:b/>
          <w:sz w:val="20"/>
          <w:szCs w:val="20"/>
        </w:rPr>
      </w:pPr>
      <w:r w:rsidRPr="00B24021">
        <w:rPr>
          <w:rFonts w:ascii="Times New Roman" w:hAnsi="Times New Roman" w:cs="Times New Roman"/>
          <w:b/>
          <w:sz w:val="20"/>
          <w:szCs w:val="20"/>
        </w:rPr>
        <w:lastRenderedPageBreak/>
        <w:t>1.6 REFERENCE</w:t>
      </w:r>
    </w:p>
    <w:p w14:paraId="3F886C98"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Beaty, B. (2012). </w:t>
      </w:r>
      <w:r w:rsidRPr="00B24021">
        <w:rPr>
          <w:rFonts w:ascii="Times New Roman" w:hAnsi="Times New Roman" w:cs="Times New Roman"/>
          <w:i/>
          <w:iCs/>
          <w:sz w:val="20"/>
          <w:szCs w:val="20"/>
        </w:rPr>
        <w:t>Comics versus Art</w:t>
      </w:r>
      <w:r w:rsidRPr="00B24021">
        <w:rPr>
          <w:rFonts w:ascii="Times New Roman" w:hAnsi="Times New Roman" w:cs="Times New Roman"/>
          <w:sz w:val="20"/>
          <w:szCs w:val="20"/>
        </w:rPr>
        <w:t>. University of Toronto Press.</w:t>
      </w:r>
    </w:p>
    <w:p w14:paraId="6FBADC88"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Carter, J. B. (2007). </w:t>
      </w:r>
      <w:r w:rsidRPr="00B24021">
        <w:rPr>
          <w:rFonts w:ascii="Times New Roman" w:hAnsi="Times New Roman" w:cs="Times New Roman"/>
          <w:i/>
          <w:iCs/>
          <w:sz w:val="20"/>
          <w:szCs w:val="20"/>
        </w:rPr>
        <w:t>Building Literacy Connections with Graphic Novels: Page by Page, Panel by Panel</w:t>
      </w:r>
      <w:r w:rsidRPr="00B24021">
        <w:rPr>
          <w:rFonts w:ascii="Times New Roman" w:hAnsi="Times New Roman" w:cs="Times New Roman"/>
          <w:sz w:val="20"/>
          <w:szCs w:val="20"/>
        </w:rPr>
        <w:t>. National Council of Teachers of English.</w:t>
      </w:r>
    </w:p>
    <w:p w14:paraId="6EAB3B06"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Chute, H. L. (2010). </w:t>
      </w:r>
      <w:r w:rsidRPr="00B24021">
        <w:rPr>
          <w:rFonts w:ascii="Times New Roman" w:hAnsi="Times New Roman" w:cs="Times New Roman"/>
          <w:i/>
          <w:iCs/>
          <w:sz w:val="20"/>
          <w:szCs w:val="20"/>
        </w:rPr>
        <w:t>Graphic Women: Life Narrative and Contemporary Comics</w:t>
      </w:r>
      <w:r w:rsidRPr="00B24021">
        <w:rPr>
          <w:rFonts w:ascii="Times New Roman" w:hAnsi="Times New Roman" w:cs="Times New Roman"/>
          <w:sz w:val="20"/>
          <w:szCs w:val="20"/>
        </w:rPr>
        <w:t>. Columbia University Press.</w:t>
      </w:r>
    </w:p>
    <w:p w14:paraId="3A044B7E"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Gavigan, K. W. (2012). </w:t>
      </w:r>
      <w:r w:rsidRPr="00B24021">
        <w:rPr>
          <w:rFonts w:ascii="Times New Roman" w:hAnsi="Times New Roman" w:cs="Times New Roman"/>
          <w:i/>
          <w:iCs/>
          <w:sz w:val="20"/>
          <w:szCs w:val="20"/>
        </w:rPr>
        <w:t>"More Powerful Than a Locomotive: Using Graphic Novels to Motivate Struggling Male Adolescent Readers"</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The Journal of Research on Libraries and Young Adults, 2</w:t>
      </w:r>
      <w:r w:rsidRPr="00B24021">
        <w:rPr>
          <w:rFonts w:ascii="Times New Roman" w:hAnsi="Times New Roman" w:cs="Times New Roman"/>
          <w:sz w:val="20"/>
          <w:szCs w:val="20"/>
        </w:rPr>
        <w:t>(1).</w:t>
      </w:r>
    </w:p>
    <w:p w14:paraId="51D0F36B"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Gibson, M. L. (2015). </w:t>
      </w:r>
      <w:r w:rsidRPr="00B24021">
        <w:rPr>
          <w:rFonts w:ascii="Times New Roman" w:hAnsi="Times New Roman" w:cs="Times New Roman"/>
          <w:i/>
          <w:iCs/>
          <w:sz w:val="20"/>
          <w:szCs w:val="20"/>
        </w:rPr>
        <w:t>"Graphic Novels: Encouraging Diverse Reading in Libraries"</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Library Journal, 140</w:t>
      </w:r>
      <w:r w:rsidRPr="00B24021">
        <w:rPr>
          <w:rFonts w:ascii="Times New Roman" w:hAnsi="Times New Roman" w:cs="Times New Roman"/>
          <w:sz w:val="20"/>
          <w:szCs w:val="20"/>
        </w:rPr>
        <w:t>(14).</w:t>
      </w:r>
    </w:p>
    <w:p w14:paraId="5817371F"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proofErr w:type="spellStart"/>
      <w:r w:rsidRPr="00B24021">
        <w:rPr>
          <w:rFonts w:ascii="Times New Roman" w:hAnsi="Times New Roman" w:cs="Times New Roman"/>
          <w:sz w:val="20"/>
          <w:szCs w:val="20"/>
        </w:rPr>
        <w:t>Groensteen</w:t>
      </w:r>
      <w:proofErr w:type="spellEnd"/>
      <w:r w:rsidRPr="00B24021">
        <w:rPr>
          <w:rFonts w:ascii="Times New Roman" w:hAnsi="Times New Roman" w:cs="Times New Roman"/>
          <w:sz w:val="20"/>
          <w:szCs w:val="20"/>
        </w:rPr>
        <w:t xml:space="preserve">, T. (2007). </w:t>
      </w:r>
      <w:r w:rsidRPr="00B24021">
        <w:rPr>
          <w:rFonts w:ascii="Times New Roman" w:hAnsi="Times New Roman" w:cs="Times New Roman"/>
          <w:i/>
          <w:iCs/>
          <w:sz w:val="20"/>
          <w:szCs w:val="20"/>
        </w:rPr>
        <w:t>The System of Comics</w:t>
      </w:r>
      <w:r w:rsidRPr="00B24021">
        <w:rPr>
          <w:rFonts w:ascii="Times New Roman" w:hAnsi="Times New Roman" w:cs="Times New Roman"/>
          <w:sz w:val="20"/>
          <w:szCs w:val="20"/>
        </w:rPr>
        <w:t xml:space="preserve"> (translated by Bart Beaty and Nick Nguyen). University Press of Mississippi.</w:t>
      </w:r>
    </w:p>
    <w:p w14:paraId="0DAA85A5"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Hatfield, C. (2005). </w:t>
      </w:r>
      <w:r w:rsidRPr="00B24021">
        <w:rPr>
          <w:rFonts w:ascii="Times New Roman" w:hAnsi="Times New Roman" w:cs="Times New Roman"/>
          <w:i/>
          <w:iCs/>
          <w:sz w:val="20"/>
          <w:szCs w:val="20"/>
        </w:rPr>
        <w:t>Alternative Comics: An Emerging Literature</w:t>
      </w:r>
      <w:r w:rsidRPr="00B24021">
        <w:rPr>
          <w:rFonts w:ascii="Times New Roman" w:hAnsi="Times New Roman" w:cs="Times New Roman"/>
          <w:sz w:val="20"/>
          <w:szCs w:val="20"/>
        </w:rPr>
        <w:t>. University Press of Mississippi.</w:t>
      </w:r>
    </w:p>
    <w:p w14:paraId="61D5B533"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Karp, J. (2013). </w:t>
      </w:r>
      <w:r w:rsidRPr="00B24021">
        <w:rPr>
          <w:rFonts w:ascii="Times New Roman" w:hAnsi="Times New Roman" w:cs="Times New Roman"/>
          <w:i/>
          <w:iCs/>
          <w:sz w:val="20"/>
          <w:szCs w:val="20"/>
        </w:rPr>
        <w:t>"Libraries and the Changing Role of Graphic Novels: Expanding Perspectives on Literacy and Inclusion"</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School Library Journal, 59</w:t>
      </w:r>
      <w:r w:rsidRPr="00B24021">
        <w:rPr>
          <w:rFonts w:ascii="Times New Roman" w:hAnsi="Times New Roman" w:cs="Times New Roman"/>
          <w:sz w:val="20"/>
          <w:szCs w:val="20"/>
        </w:rPr>
        <w:t>(5).</w:t>
      </w:r>
    </w:p>
    <w:p w14:paraId="5E955073"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McCloud, S. (1993). </w:t>
      </w:r>
      <w:r w:rsidRPr="00B24021">
        <w:rPr>
          <w:rFonts w:ascii="Times New Roman" w:hAnsi="Times New Roman" w:cs="Times New Roman"/>
          <w:i/>
          <w:iCs/>
          <w:sz w:val="20"/>
          <w:szCs w:val="20"/>
        </w:rPr>
        <w:t>Understanding Comics: The Invisible Art</w:t>
      </w:r>
      <w:r w:rsidRPr="00B24021">
        <w:rPr>
          <w:rFonts w:ascii="Times New Roman" w:hAnsi="Times New Roman" w:cs="Times New Roman"/>
          <w:sz w:val="20"/>
          <w:szCs w:val="20"/>
        </w:rPr>
        <w:t>. Harper Perennial.</w:t>
      </w:r>
    </w:p>
    <w:p w14:paraId="213C2D56"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Moeller, R. A. (2013). </w:t>
      </w:r>
      <w:r w:rsidRPr="00B24021">
        <w:rPr>
          <w:rFonts w:ascii="Times New Roman" w:hAnsi="Times New Roman" w:cs="Times New Roman"/>
          <w:i/>
          <w:iCs/>
          <w:sz w:val="20"/>
          <w:szCs w:val="20"/>
        </w:rPr>
        <w:t>"‘Aren’t These Books for Kids?’: High School Students’ Responses to Graphic Novels"</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Journal of Adolescent &amp; Adult Literacy, 56</w:t>
      </w:r>
      <w:r w:rsidRPr="00B24021">
        <w:rPr>
          <w:rFonts w:ascii="Times New Roman" w:hAnsi="Times New Roman" w:cs="Times New Roman"/>
          <w:sz w:val="20"/>
          <w:szCs w:val="20"/>
        </w:rPr>
        <w:t>(8), 603–612.</w:t>
      </w:r>
    </w:p>
    <w:p w14:paraId="1CA402C1"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Radford, G. P., &amp; Radford, M. L. (2001). </w:t>
      </w:r>
      <w:r w:rsidRPr="00B24021">
        <w:rPr>
          <w:rFonts w:ascii="Times New Roman" w:hAnsi="Times New Roman" w:cs="Times New Roman"/>
          <w:i/>
          <w:iCs/>
          <w:sz w:val="20"/>
          <w:szCs w:val="20"/>
        </w:rPr>
        <w:t>"Libraries, Librarians, and the Discourse of Fear"</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Library Quarterly, 71</w:t>
      </w:r>
      <w:r w:rsidRPr="00B24021">
        <w:rPr>
          <w:rFonts w:ascii="Times New Roman" w:hAnsi="Times New Roman" w:cs="Times New Roman"/>
          <w:sz w:val="20"/>
          <w:szCs w:val="20"/>
        </w:rPr>
        <w:t>(3), 299–329.</w:t>
      </w:r>
    </w:p>
    <w:p w14:paraId="5B0A56AA"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Versaci, R. (2001). </w:t>
      </w:r>
      <w:r w:rsidRPr="00B24021">
        <w:rPr>
          <w:rFonts w:ascii="Times New Roman" w:hAnsi="Times New Roman" w:cs="Times New Roman"/>
          <w:i/>
          <w:iCs/>
          <w:sz w:val="20"/>
          <w:szCs w:val="20"/>
        </w:rPr>
        <w:t>"How Comic Books Can Change the Way Our Students See Literature: One Teacher's Perspective"</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English Journal, 91</w:t>
      </w:r>
      <w:r w:rsidRPr="00B24021">
        <w:rPr>
          <w:rFonts w:ascii="Times New Roman" w:hAnsi="Times New Roman" w:cs="Times New Roman"/>
          <w:sz w:val="20"/>
          <w:szCs w:val="20"/>
        </w:rPr>
        <w:t>(2), 61–67.</w:t>
      </w:r>
    </w:p>
    <w:p w14:paraId="36ABAC92" w14:textId="77777777" w:rsidR="00B24021" w:rsidRPr="00B24021" w:rsidRDefault="00B24021" w:rsidP="00B24021">
      <w:pPr>
        <w:pStyle w:val="ListParagraph"/>
        <w:numPr>
          <w:ilvl w:val="0"/>
          <w:numId w:val="39"/>
        </w:numPr>
        <w:spacing w:after="0"/>
        <w:jc w:val="both"/>
        <w:rPr>
          <w:rFonts w:ascii="Times New Roman" w:hAnsi="Times New Roman" w:cs="Times New Roman"/>
          <w:sz w:val="20"/>
          <w:szCs w:val="20"/>
        </w:rPr>
      </w:pPr>
      <w:r w:rsidRPr="00B24021">
        <w:rPr>
          <w:rFonts w:ascii="Times New Roman" w:hAnsi="Times New Roman" w:cs="Times New Roman"/>
          <w:sz w:val="20"/>
          <w:szCs w:val="20"/>
        </w:rPr>
        <w:t xml:space="preserve">Weiner, R. G. (2003). </w:t>
      </w:r>
      <w:r w:rsidRPr="00B24021">
        <w:rPr>
          <w:rFonts w:ascii="Times New Roman" w:hAnsi="Times New Roman" w:cs="Times New Roman"/>
          <w:i/>
          <w:iCs/>
          <w:sz w:val="20"/>
          <w:szCs w:val="20"/>
        </w:rPr>
        <w:t>"Beyond Superheroes: Comics and Graphic Novels for Libraries"</w:t>
      </w:r>
      <w:r w:rsidRPr="00B24021">
        <w:rPr>
          <w:rFonts w:ascii="Times New Roman" w:hAnsi="Times New Roman" w:cs="Times New Roman"/>
          <w:sz w:val="20"/>
          <w:szCs w:val="20"/>
        </w:rPr>
        <w:t xml:space="preserve">. </w:t>
      </w:r>
      <w:r w:rsidRPr="00B24021">
        <w:rPr>
          <w:rFonts w:ascii="Times New Roman" w:hAnsi="Times New Roman" w:cs="Times New Roman"/>
          <w:i/>
          <w:iCs/>
          <w:sz w:val="20"/>
          <w:szCs w:val="20"/>
        </w:rPr>
        <w:t>Library Collections, Acquisitions, and Technical Services, 27</w:t>
      </w:r>
      <w:r w:rsidRPr="00B24021">
        <w:rPr>
          <w:rFonts w:ascii="Times New Roman" w:hAnsi="Times New Roman" w:cs="Times New Roman"/>
          <w:sz w:val="20"/>
          <w:szCs w:val="20"/>
        </w:rPr>
        <w:t>(3), 293–306.</w:t>
      </w:r>
    </w:p>
    <w:p w14:paraId="4C3C4F01" w14:textId="7ECE0060" w:rsidR="00CF22D3" w:rsidRPr="00B24021" w:rsidRDefault="00CF22D3" w:rsidP="00B24021">
      <w:pPr>
        <w:shd w:val="clear" w:color="auto" w:fill="FFFFFF"/>
        <w:spacing w:after="0"/>
        <w:ind w:firstLineChars="200" w:firstLine="400"/>
        <w:jc w:val="both"/>
        <w:textAlignment w:val="baseline"/>
        <w:rPr>
          <w:rFonts w:ascii="Times New Roman" w:hAnsi="Times New Roman" w:cs="Times New Roman"/>
          <w:sz w:val="20"/>
          <w:szCs w:val="20"/>
        </w:rPr>
      </w:pPr>
    </w:p>
    <w:sectPr w:rsidR="00CF22D3" w:rsidRPr="00B24021" w:rsidSect="007A2C87">
      <w:headerReference w:type="default" r:id="rId7"/>
      <w:footerReference w:type="default" r:id="rId8"/>
      <w:headerReference w:type="first" r:id="rId9"/>
      <w:footerReference w:type="first" r:id="rId10"/>
      <w:pgSz w:w="11907" w:h="16840" w:code="9"/>
      <w:pgMar w:top="1021" w:right="1066" w:bottom="964" w:left="1168" w:header="851" w:footer="777" w:gutter="0"/>
      <w:pgNumType w:start="10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0B1B9" w14:textId="77777777" w:rsidR="00664A2A" w:rsidRDefault="00664A2A" w:rsidP="00074CFC">
      <w:pPr>
        <w:spacing w:after="0" w:line="240" w:lineRule="auto"/>
      </w:pPr>
      <w:r>
        <w:separator/>
      </w:r>
    </w:p>
  </w:endnote>
  <w:endnote w:type="continuationSeparator" w:id="0">
    <w:p w14:paraId="5179289E" w14:textId="77777777" w:rsidR="00664A2A" w:rsidRDefault="00664A2A" w:rsidP="0007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305F3" w14:textId="5FD8D0D9" w:rsidR="003904E2" w:rsidRPr="00C57293" w:rsidRDefault="00C57293" w:rsidP="00C57293">
    <w:pPr>
      <w:pStyle w:val="Footer"/>
      <w:pBdr>
        <w:top w:val="single" w:sz="4" w:space="1" w:color="auto"/>
      </w:pBdr>
      <w:tabs>
        <w:tab w:val="clear" w:pos="9360"/>
        <w:tab w:val="right" w:pos="9639"/>
      </w:tabs>
      <w:ind w:left="10" w:hanging="10"/>
      <w:rPr>
        <w:rFonts w:ascii="Book Antiqua" w:hAnsi="Book Antiqua"/>
        <w:sz w:val="20"/>
        <w:szCs w:val="20"/>
      </w:rPr>
    </w:pPr>
    <w:r w:rsidRPr="00CB3F11">
      <w:rPr>
        <w:rFonts w:ascii="Book Antiqua" w:hAnsi="Book Antiqua"/>
        <w:b/>
        <w:bCs/>
        <w:sz w:val="20"/>
        <w:szCs w:val="20"/>
      </w:rPr>
      <w:t>Library Progress International| Vol.4</w:t>
    </w:r>
    <w:r w:rsidR="007A2C87">
      <w:rPr>
        <w:rFonts w:ascii="Book Antiqua" w:hAnsi="Book Antiqua"/>
        <w:b/>
        <w:bCs/>
        <w:sz w:val="20"/>
        <w:szCs w:val="20"/>
      </w:rPr>
      <w:t>4</w:t>
    </w:r>
    <w:r w:rsidRPr="00CB3F11">
      <w:rPr>
        <w:rFonts w:ascii="Book Antiqua" w:hAnsi="Book Antiqua"/>
        <w:b/>
        <w:bCs/>
        <w:sz w:val="20"/>
        <w:szCs w:val="20"/>
      </w:rPr>
      <w:t xml:space="preserve"> No.</w:t>
    </w:r>
    <w:r w:rsidR="007A2C87">
      <w:rPr>
        <w:rFonts w:ascii="Book Antiqua" w:hAnsi="Book Antiqua"/>
        <w:b/>
        <w:bCs/>
        <w:sz w:val="20"/>
        <w:szCs w:val="20"/>
      </w:rPr>
      <w:t>6</w:t>
    </w:r>
    <w:r w:rsidR="00924C47">
      <w:rPr>
        <w:rFonts w:ascii="Book Antiqua" w:hAnsi="Book Antiqua"/>
        <w:b/>
        <w:bCs/>
        <w:sz w:val="20"/>
        <w:szCs w:val="20"/>
      </w:rPr>
      <w:t xml:space="preserve"> </w:t>
    </w:r>
    <w:r w:rsidRPr="00CB3F11">
      <w:rPr>
        <w:rFonts w:ascii="Book Antiqua" w:hAnsi="Book Antiqua"/>
        <w:b/>
        <w:bCs/>
        <w:sz w:val="20"/>
        <w:szCs w:val="20"/>
      </w:rPr>
      <w:t>|</w:t>
    </w:r>
    <w:r w:rsidR="00B952AE" w:rsidRPr="00B952AE">
      <w:t xml:space="preserve"> </w:t>
    </w:r>
    <w:r w:rsidR="00120D1A">
      <w:rPr>
        <w:rFonts w:ascii="Book Antiqua" w:hAnsi="Book Antiqua"/>
        <w:b/>
        <w:bCs/>
        <w:i/>
        <w:iCs/>
        <w:sz w:val="20"/>
        <w:szCs w:val="20"/>
      </w:rPr>
      <w:t>Jul-Dec</w:t>
    </w:r>
    <w:r w:rsidR="00120D1A" w:rsidRPr="005B6856">
      <w:rPr>
        <w:rFonts w:ascii="Book Antiqua" w:hAnsi="Book Antiqua" w:cs="Times New Roman"/>
        <w:b/>
        <w:bCs/>
        <w:i/>
        <w:iCs/>
        <w:sz w:val="20"/>
        <w:szCs w:val="20"/>
      </w:rPr>
      <w:t xml:space="preserve"> </w:t>
    </w:r>
    <w:r w:rsidRPr="00CB3F11">
      <w:rPr>
        <w:rFonts w:ascii="Book Antiqua" w:hAnsi="Book Antiqua"/>
        <w:b/>
        <w:bCs/>
        <w:sz w:val="20"/>
        <w:szCs w:val="20"/>
      </w:rPr>
      <w:t>202</w:t>
    </w:r>
    <w:r w:rsidR="007A2C87">
      <w:rPr>
        <w:rFonts w:ascii="Book Antiqua" w:hAnsi="Book Antiqua"/>
        <w:b/>
        <w:bCs/>
        <w:sz w:val="20"/>
        <w:szCs w:val="20"/>
      </w:rPr>
      <w:t>4</w:t>
    </w:r>
    <w:r w:rsidRPr="00CB3F11">
      <w:rPr>
        <w:rFonts w:ascii="Book Antiqua" w:hAnsi="Book Antiqua"/>
        <w:b/>
        <w:bCs/>
        <w:sz w:val="20"/>
        <w:szCs w:val="20"/>
      </w:rPr>
      <w:tab/>
    </w:r>
    <w:sdt>
      <w:sdtPr>
        <w:rPr>
          <w:rFonts w:ascii="Book Antiqua" w:hAnsi="Book Antiqua"/>
          <w:sz w:val="20"/>
          <w:szCs w:val="20"/>
        </w:rPr>
        <w:id w:val="-1184740890"/>
        <w:docPartObj>
          <w:docPartGallery w:val="Page Numbers (Bottom of Page)"/>
          <w:docPartUnique/>
        </w:docPartObj>
      </w:sdtPr>
      <w:sdtEndPr>
        <w:rPr>
          <w:noProof/>
        </w:rPr>
      </w:sdtEndPr>
      <w:sdtContent>
        <w:r w:rsidRPr="00CB3F11">
          <w:rPr>
            <w:rFonts w:ascii="Book Antiqua" w:hAnsi="Book Antiqua"/>
            <w:sz w:val="20"/>
            <w:szCs w:val="20"/>
          </w:rPr>
          <w:fldChar w:fldCharType="begin"/>
        </w:r>
        <w:r w:rsidRPr="00CB3F11">
          <w:rPr>
            <w:rFonts w:ascii="Book Antiqua" w:hAnsi="Book Antiqua"/>
            <w:sz w:val="20"/>
            <w:szCs w:val="20"/>
          </w:rPr>
          <w:instrText xml:space="preserve"> PAGE   \* MERGEFORMAT </w:instrText>
        </w:r>
        <w:r w:rsidRPr="00CB3F11">
          <w:rPr>
            <w:rFonts w:ascii="Book Antiqua" w:hAnsi="Book Antiqua"/>
            <w:sz w:val="20"/>
            <w:szCs w:val="20"/>
          </w:rPr>
          <w:fldChar w:fldCharType="separate"/>
        </w:r>
        <w:r>
          <w:rPr>
            <w:rFonts w:ascii="Book Antiqua" w:hAnsi="Book Antiqua"/>
            <w:sz w:val="20"/>
            <w:szCs w:val="20"/>
          </w:rPr>
          <w:t>1</w:t>
        </w:r>
        <w:r w:rsidRPr="00CB3F11">
          <w:rPr>
            <w:rFonts w:ascii="Book Antiqua" w:hAnsi="Book Antiqua"/>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011CB" w14:textId="15C426E1" w:rsidR="00C57293" w:rsidRPr="00C57293" w:rsidRDefault="00C57293" w:rsidP="00C57293">
    <w:pPr>
      <w:pStyle w:val="Footer"/>
      <w:pBdr>
        <w:top w:val="single" w:sz="4" w:space="1" w:color="auto"/>
      </w:pBdr>
      <w:tabs>
        <w:tab w:val="clear" w:pos="9360"/>
        <w:tab w:val="right" w:pos="9639"/>
      </w:tabs>
      <w:ind w:left="10" w:hanging="10"/>
      <w:rPr>
        <w:rFonts w:ascii="Book Antiqua" w:hAnsi="Book Antiqua"/>
        <w:sz w:val="20"/>
        <w:szCs w:val="20"/>
      </w:rPr>
    </w:pPr>
    <w:r w:rsidRPr="00CB3F11">
      <w:rPr>
        <w:rFonts w:ascii="Book Antiqua" w:hAnsi="Book Antiqua"/>
        <w:b/>
        <w:bCs/>
        <w:sz w:val="20"/>
        <w:szCs w:val="20"/>
      </w:rPr>
      <w:t>Library Progress International| Vol.4</w:t>
    </w:r>
    <w:r w:rsidR="007A2C87">
      <w:rPr>
        <w:rFonts w:ascii="Book Antiqua" w:hAnsi="Book Antiqua"/>
        <w:b/>
        <w:bCs/>
        <w:sz w:val="20"/>
        <w:szCs w:val="20"/>
      </w:rPr>
      <w:t>4</w:t>
    </w:r>
    <w:r w:rsidRPr="00CB3F11">
      <w:rPr>
        <w:rFonts w:ascii="Book Antiqua" w:hAnsi="Book Antiqua"/>
        <w:b/>
        <w:bCs/>
        <w:sz w:val="20"/>
        <w:szCs w:val="20"/>
      </w:rPr>
      <w:t xml:space="preserve"> No.</w:t>
    </w:r>
    <w:r w:rsidR="007A2C87">
      <w:rPr>
        <w:rFonts w:ascii="Book Antiqua" w:hAnsi="Book Antiqua"/>
        <w:b/>
        <w:bCs/>
        <w:sz w:val="20"/>
        <w:szCs w:val="20"/>
      </w:rPr>
      <w:t>6</w:t>
    </w:r>
    <w:r w:rsidR="00924C47">
      <w:rPr>
        <w:rFonts w:ascii="Book Antiqua" w:hAnsi="Book Antiqua"/>
        <w:b/>
        <w:bCs/>
        <w:sz w:val="20"/>
        <w:szCs w:val="20"/>
      </w:rPr>
      <w:t xml:space="preserve"> </w:t>
    </w:r>
    <w:r w:rsidRPr="00CB3F11">
      <w:rPr>
        <w:rFonts w:ascii="Book Antiqua" w:hAnsi="Book Antiqua"/>
        <w:b/>
        <w:bCs/>
        <w:sz w:val="20"/>
        <w:szCs w:val="20"/>
      </w:rPr>
      <w:t>|</w:t>
    </w:r>
    <w:r w:rsidR="002B0A47" w:rsidRPr="002B0A47">
      <w:rPr>
        <w:rFonts w:ascii="Book Antiqua" w:hAnsi="Book Antiqua"/>
        <w:b/>
        <w:bCs/>
        <w:sz w:val="20"/>
        <w:szCs w:val="20"/>
      </w:rPr>
      <w:t xml:space="preserve"> </w:t>
    </w:r>
    <w:r w:rsidR="00120D1A">
      <w:rPr>
        <w:rFonts w:ascii="Book Antiqua" w:hAnsi="Book Antiqua"/>
        <w:b/>
        <w:bCs/>
        <w:i/>
        <w:iCs/>
        <w:sz w:val="20"/>
        <w:szCs w:val="20"/>
      </w:rPr>
      <w:t>Jul-Dec</w:t>
    </w:r>
    <w:r w:rsidR="00120D1A" w:rsidRPr="005B6856">
      <w:rPr>
        <w:rFonts w:ascii="Book Antiqua" w:hAnsi="Book Antiqua" w:cs="Times New Roman"/>
        <w:b/>
        <w:bCs/>
        <w:i/>
        <w:iCs/>
        <w:sz w:val="20"/>
        <w:szCs w:val="20"/>
      </w:rPr>
      <w:t xml:space="preserve"> </w:t>
    </w:r>
    <w:r w:rsidRPr="00CB3F11">
      <w:rPr>
        <w:rFonts w:ascii="Book Antiqua" w:hAnsi="Book Antiqua"/>
        <w:b/>
        <w:bCs/>
        <w:sz w:val="20"/>
        <w:szCs w:val="20"/>
      </w:rPr>
      <w:t>202</w:t>
    </w:r>
    <w:r w:rsidR="007A2C87">
      <w:rPr>
        <w:rFonts w:ascii="Book Antiqua" w:hAnsi="Book Antiqua"/>
        <w:b/>
        <w:bCs/>
        <w:sz w:val="20"/>
        <w:szCs w:val="20"/>
      </w:rPr>
      <w:t>4</w:t>
    </w:r>
    <w:r w:rsidRPr="00CB3F11">
      <w:rPr>
        <w:rFonts w:ascii="Book Antiqua" w:hAnsi="Book Antiqua"/>
        <w:b/>
        <w:bCs/>
        <w:sz w:val="20"/>
        <w:szCs w:val="20"/>
      </w:rPr>
      <w:tab/>
    </w:r>
    <w:sdt>
      <w:sdtPr>
        <w:rPr>
          <w:rFonts w:ascii="Book Antiqua" w:hAnsi="Book Antiqua"/>
          <w:sz w:val="20"/>
          <w:szCs w:val="20"/>
        </w:rPr>
        <w:id w:val="-1193212339"/>
        <w:docPartObj>
          <w:docPartGallery w:val="Page Numbers (Bottom of Page)"/>
          <w:docPartUnique/>
        </w:docPartObj>
      </w:sdtPr>
      <w:sdtEndPr>
        <w:rPr>
          <w:noProof/>
        </w:rPr>
      </w:sdtEndPr>
      <w:sdtContent>
        <w:r w:rsidRPr="00CB3F11">
          <w:rPr>
            <w:rFonts w:ascii="Book Antiqua" w:hAnsi="Book Antiqua"/>
            <w:sz w:val="20"/>
            <w:szCs w:val="20"/>
          </w:rPr>
          <w:fldChar w:fldCharType="begin"/>
        </w:r>
        <w:r w:rsidRPr="00CB3F11">
          <w:rPr>
            <w:rFonts w:ascii="Book Antiqua" w:hAnsi="Book Antiqua"/>
            <w:sz w:val="20"/>
            <w:szCs w:val="20"/>
          </w:rPr>
          <w:instrText xml:space="preserve"> PAGE   \* MERGEFORMAT </w:instrText>
        </w:r>
        <w:r w:rsidRPr="00CB3F11">
          <w:rPr>
            <w:rFonts w:ascii="Book Antiqua" w:hAnsi="Book Antiqua"/>
            <w:sz w:val="20"/>
            <w:szCs w:val="20"/>
          </w:rPr>
          <w:fldChar w:fldCharType="separate"/>
        </w:r>
        <w:r>
          <w:rPr>
            <w:rFonts w:ascii="Book Antiqua" w:hAnsi="Book Antiqua"/>
            <w:sz w:val="20"/>
            <w:szCs w:val="20"/>
          </w:rPr>
          <w:t>1</w:t>
        </w:r>
        <w:r w:rsidRPr="00CB3F11">
          <w:rPr>
            <w:rFonts w:ascii="Book Antiqua" w:hAnsi="Book Antiqua"/>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C90A" w14:textId="77777777" w:rsidR="00664A2A" w:rsidRDefault="00664A2A" w:rsidP="00074CFC">
      <w:pPr>
        <w:spacing w:after="0" w:line="240" w:lineRule="auto"/>
      </w:pPr>
      <w:r>
        <w:separator/>
      </w:r>
    </w:p>
  </w:footnote>
  <w:footnote w:type="continuationSeparator" w:id="0">
    <w:p w14:paraId="26C154E8" w14:textId="77777777" w:rsidR="00664A2A" w:rsidRDefault="00664A2A" w:rsidP="00074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D477" w14:textId="10A2C54A" w:rsidR="00B24021" w:rsidRPr="00CF22D3" w:rsidRDefault="00B24021" w:rsidP="003705FE">
    <w:pPr>
      <w:pStyle w:val="Header"/>
      <w:tabs>
        <w:tab w:val="clear" w:pos="9360"/>
        <w:tab w:val="left" w:pos="6462"/>
      </w:tabs>
      <w:rPr>
        <w:rFonts w:ascii="Times New Roman" w:hAnsi="Times New Roman" w:cs="Times New Roman"/>
        <w:b/>
        <w:bCs/>
        <w:color w:val="000000" w:themeColor="text1"/>
        <w:sz w:val="20"/>
        <w:szCs w:val="20"/>
        <w:lang w:val="sv-SE"/>
      </w:rPr>
    </w:pPr>
    <w:r w:rsidRPr="00B24021">
      <w:rPr>
        <w:rFonts w:ascii="Times New Roman" w:eastAsia="Times New Roman" w:hAnsi="Times New Roman" w:cs="Times New Roman"/>
        <w:b/>
        <w:sz w:val="20"/>
        <w:szCs w:val="20"/>
        <w:lang w:eastAsia="en-IN"/>
      </w:rPr>
      <w:t xml:space="preserve">Dr. </w:t>
    </w:r>
    <w:proofErr w:type="spellStart"/>
    <w:r w:rsidRPr="00B24021">
      <w:rPr>
        <w:rFonts w:ascii="Times New Roman" w:eastAsia="Times New Roman" w:hAnsi="Times New Roman" w:cs="Times New Roman"/>
        <w:b/>
        <w:sz w:val="20"/>
        <w:szCs w:val="20"/>
        <w:lang w:eastAsia="en-IN"/>
      </w:rPr>
      <w:t>Somanand</w:t>
    </w:r>
    <w:proofErr w:type="spellEnd"/>
    <w:r w:rsidRPr="00B24021">
      <w:rPr>
        <w:rFonts w:ascii="Times New Roman" w:eastAsia="Times New Roman" w:hAnsi="Times New Roman" w:cs="Times New Roman"/>
        <w:b/>
        <w:sz w:val="20"/>
        <w:szCs w:val="20"/>
        <w:lang w:eastAsia="en-IN"/>
      </w:rPr>
      <w:t xml:space="preserve"> Saraswati</w:t>
    </w:r>
  </w:p>
  <w:p w14:paraId="326D19CB" w14:textId="272ADCDD" w:rsidR="003705FE" w:rsidRPr="004E0F15" w:rsidRDefault="003705FE" w:rsidP="003705FE">
    <w:pPr>
      <w:pStyle w:val="Header"/>
      <w:tabs>
        <w:tab w:val="clear" w:pos="9360"/>
        <w:tab w:val="left" w:pos="6462"/>
      </w:tabs>
      <w:rPr>
        <w:rFonts w:ascii="Times New Roman" w:hAnsi="Times New Roman" w:cs="Times New Roman"/>
        <w:sz w:val="20"/>
        <w:szCs w:val="20"/>
        <w:lang w:val="sv-SE"/>
      </w:rPr>
    </w:pPr>
    <w:r w:rsidRPr="00253660">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116A7A96" wp14:editId="4D0BE04C">
              <wp:simplePos x="0" y="0"/>
              <wp:positionH relativeFrom="column">
                <wp:posOffset>-1093</wp:posOffset>
              </wp:positionH>
              <wp:positionV relativeFrom="paragraph">
                <wp:posOffset>91939</wp:posOffset>
              </wp:positionV>
              <wp:extent cx="6113633" cy="0"/>
              <wp:effectExtent l="0" t="0" r="8255" b="12700"/>
              <wp:wrapNone/>
              <wp:docPr id="1677435527" name="Straight Connector 1"/>
              <wp:cNvGraphicFramePr/>
              <a:graphic xmlns:a="http://schemas.openxmlformats.org/drawingml/2006/main">
                <a:graphicData uri="http://schemas.microsoft.com/office/word/2010/wordprocessingShape">
                  <wps:wsp>
                    <wps:cNvCnPr/>
                    <wps:spPr>
                      <a:xfrm>
                        <a:off x="0" y="0"/>
                        <a:ext cx="6113633"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B1973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7.25pt" to="481.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" strokecolor="black [3213]"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671B" w14:textId="77777777" w:rsidR="00C960B0" w:rsidRPr="005B6856" w:rsidRDefault="00C960B0" w:rsidP="00C960B0">
    <w:pPr>
      <w:tabs>
        <w:tab w:val="right" w:pos="9639"/>
      </w:tabs>
      <w:spacing w:after="0" w:line="240" w:lineRule="auto"/>
      <w:jc w:val="both"/>
      <w:rPr>
        <w:rFonts w:ascii="Book Antiqua" w:hAnsi="Book Antiqua" w:cs="Times New Roman"/>
        <w:b/>
        <w:bCs/>
        <w:i/>
        <w:iCs/>
        <w:sz w:val="20"/>
        <w:szCs w:val="20"/>
      </w:rPr>
    </w:pPr>
    <w:r w:rsidRPr="005B6856">
      <w:rPr>
        <w:rFonts w:ascii="Book Antiqua" w:hAnsi="Book Antiqua" w:cs="Times New Roman"/>
        <w:b/>
        <w:bCs/>
        <w:sz w:val="20"/>
        <w:szCs w:val="20"/>
      </w:rPr>
      <w:t>Library Progress International</w:t>
    </w:r>
    <w:r>
      <w:rPr>
        <w:rFonts w:ascii="Book Antiqua" w:hAnsi="Book Antiqua" w:cs="Times New Roman"/>
        <w:b/>
        <w:bCs/>
        <w:i/>
        <w:iCs/>
        <w:sz w:val="20"/>
        <w:szCs w:val="20"/>
      </w:rPr>
      <w:tab/>
    </w:r>
    <w:r w:rsidRPr="005B6856">
      <w:rPr>
        <w:rFonts w:ascii="Book Antiqua" w:hAnsi="Book Antiqua" w:cs="Times New Roman"/>
        <w:b/>
        <w:bCs/>
        <w:i/>
        <w:iCs/>
        <w:sz w:val="20"/>
        <w:szCs w:val="20"/>
      </w:rPr>
      <w:t>Print version ISSN 0970 1052</w:t>
    </w:r>
  </w:p>
  <w:p w14:paraId="51BD3A2B" w14:textId="5487650A" w:rsidR="00C960B0" w:rsidRPr="005B6856" w:rsidRDefault="00C960B0" w:rsidP="00C960B0">
    <w:pPr>
      <w:tabs>
        <w:tab w:val="right" w:pos="9639"/>
      </w:tabs>
      <w:spacing w:after="0" w:line="240" w:lineRule="auto"/>
      <w:jc w:val="both"/>
      <w:rPr>
        <w:rFonts w:ascii="Book Antiqua" w:hAnsi="Book Antiqua" w:cs="Times New Roman"/>
        <w:b/>
        <w:bCs/>
        <w:i/>
        <w:iCs/>
        <w:sz w:val="20"/>
        <w:szCs w:val="20"/>
      </w:rPr>
    </w:pPr>
    <w:r w:rsidRPr="005B6856">
      <w:rPr>
        <w:rFonts w:ascii="Book Antiqua" w:hAnsi="Book Antiqua" w:cs="Times New Roman"/>
        <w:b/>
        <w:bCs/>
        <w:i/>
        <w:iCs/>
        <w:sz w:val="20"/>
        <w:szCs w:val="20"/>
      </w:rPr>
      <w:t>Vol.4</w:t>
    </w:r>
    <w:r w:rsidR="007A2C87">
      <w:rPr>
        <w:rFonts w:ascii="Book Antiqua" w:hAnsi="Book Antiqua"/>
        <w:b/>
        <w:bCs/>
        <w:i/>
        <w:iCs/>
        <w:sz w:val="20"/>
        <w:szCs w:val="20"/>
      </w:rPr>
      <w:t>4</w:t>
    </w:r>
    <w:r w:rsidRPr="005B6856">
      <w:rPr>
        <w:rFonts w:ascii="Book Antiqua" w:hAnsi="Book Antiqua" w:cs="Times New Roman"/>
        <w:b/>
        <w:bCs/>
        <w:i/>
        <w:iCs/>
        <w:sz w:val="20"/>
        <w:szCs w:val="20"/>
      </w:rPr>
      <w:t>, No.</w:t>
    </w:r>
    <w:r w:rsidR="007A2C87">
      <w:rPr>
        <w:rFonts w:ascii="Book Antiqua" w:hAnsi="Book Antiqua"/>
        <w:b/>
        <w:bCs/>
        <w:i/>
        <w:iCs/>
        <w:sz w:val="20"/>
        <w:szCs w:val="20"/>
      </w:rPr>
      <w:t>6</w:t>
    </w:r>
    <w:r w:rsidRPr="005B6856">
      <w:rPr>
        <w:rFonts w:ascii="Book Antiqua" w:hAnsi="Book Antiqua" w:cs="Times New Roman"/>
        <w:b/>
        <w:bCs/>
        <w:i/>
        <w:iCs/>
        <w:sz w:val="20"/>
        <w:szCs w:val="20"/>
      </w:rPr>
      <w:t xml:space="preserve">, </w:t>
    </w:r>
    <w:r w:rsidR="00F55FC1">
      <w:rPr>
        <w:rFonts w:ascii="Book Antiqua" w:hAnsi="Book Antiqua"/>
        <w:b/>
        <w:bCs/>
        <w:i/>
        <w:iCs/>
        <w:sz w:val="20"/>
        <w:szCs w:val="20"/>
      </w:rPr>
      <w:t>Jul-Dec</w:t>
    </w:r>
    <w:r w:rsidRPr="005B6856">
      <w:rPr>
        <w:rFonts w:ascii="Book Antiqua" w:hAnsi="Book Antiqua" w:cs="Times New Roman"/>
        <w:b/>
        <w:bCs/>
        <w:i/>
        <w:iCs/>
        <w:sz w:val="20"/>
        <w:szCs w:val="20"/>
      </w:rPr>
      <w:t xml:space="preserve"> 202</w:t>
    </w:r>
    <w:r w:rsidR="007A2C87">
      <w:rPr>
        <w:rFonts w:ascii="Book Antiqua" w:hAnsi="Book Antiqua"/>
        <w:b/>
        <w:bCs/>
        <w:i/>
        <w:iCs/>
        <w:sz w:val="20"/>
        <w:szCs w:val="20"/>
      </w:rPr>
      <w:t>4</w:t>
    </w:r>
    <w:r w:rsidRPr="005B6856">
      <w:rPr>
        <w:rFonts w:ascii="Book Antiqua" w:hAnsi="Book Antiqua" w:cs="Times New Roman"/>
        <w:b/>
        <w:bCs/>
        <w:i/>
        <w:iCs/>
        <w:sz w:val="20"/>
        <w:szCs w:val="20"/>
      </w:rPr>
      <w:t>: P.</w:t>
    </w:r>
    <w:r w:rsidR="007A2C87">
      <w:rPr>
        <w:rFonts w:ascii="Book Antiqua" w:hAnsi="Book Antiqua" w:cs="Times New Roman"/>
        <w:b/>
        <w:bCs/>
        <w:i/>
        <w:iCs/>
        <w:sz w:val="20"/>
        <w:szCs w:val="20"/>
      </w:rPr>
      <w:t>1067-1070</w:t>
    </w:r>
    <w:r>
      <w:rPr>
        <w:rFonts w:ascii="Book Antiqua" w:hAnsi="Book Antiqua" w:cs="Times New Roman"/>
        <w:b/>
        <w:bCs/>
        <w:i/>
        <w:iCs/>
        <w:sz w:val="20"/>
        <w:szCs w:val="20"/>
      </w:rPr>
      <w:tab/>
    </w:r>
    <w:r w:rsidRPr="005B6856">
      <w:rPr>
        <w:rFonts w:ascii="Book Antiqua" w:hAnsi="Book Antiqua" w:cs="Times New Roman"/>
        <w:b/>
        <w:bCs/>
        <w:i/>
        <w:iCs/>
        <w:sz w:val="20"/>
        <w:szCs w:val="20"/>
      </w:rPr>
      <w:t>Online version ISSN 2320 317X</w:t>
    </w:r>
  </w:p>
  <w:p w14:paraId="77595602" w14:textId="333D82F4" w:rsidR="00C960B0" w:rsidRDefault="00C960B0" w:rsidP="00C960B0">
    <w:pPr>
      <w:spacing w:after="0" w:line="240" w:lineRule="auto"/>
      <w:jc w:val="both"/>
      <w:rPr>
        <w:rFonts w:ascii="Book Antiqua" w:hAnsi="Book Antiqua" w:cs="Times New Roman"/>
        <w:b/>
        <w:bCs/>
        <w:i/>
        <w:iCs/>
        <w:sz w:val="20"/>
        <w:szCs w:val="20"/>
      </w:rPr>
    </w:pPr>
    <w:r>
      <w:rPr>
        <w:rFonts w:ascii="Book Antiqua" w:hAnsi="Book Antiqua" w:cs="Times New Roman"/>
        <w:b/>
        <w:bCs/>
        <w:i/>
        <w:iCs/>
        <w:sz w:val="20"/>
        <w:szCs w:val="20"/>
      </w:rPr>
      <w:t xml:space="preserve"> </w:t>
    </w:r>
  </w:p>
  <w:p w14:paraId="39458203" w14:textId="77777777" w:rsidR="00C960B0" w:rsidRPr="005B6856" w:rsidRDefault="00C960B0" w:rsidP="00C960B0">
    <w:pPr>
      <w:pBdr>
        <w:bottom w:val="single" w:sz="4" w:space="1" w:color="auto"/>
      </w:pBdr>
      <w:tabs>
        <w:tab w:val="right" w:pos="9639"/>
      </w:tabs>
      <w:spacing w:after="0" w:line="240" w:lineRule="auto"/>
      <w:jc w:val="both"/>
      <w:rPr>
        <w:rFonts w:ascii="Book Antiqua" w:hAnsi="Book Antiqua" w:cs="Times New Roman"/>
        <w:b/>
        <w:bCs/>
        <w:i/>
        <w:iCs/>
        <w:sz w:val="20"/>
        <w:szCs w:val="20"/>
      </w:rPr>
    </w:pPr>
    <w:r w:rsidRPr="005B6856">
      <w:rPr>
        <w:rFonts w:ascii="Book Antiqua" w:hAnsi="Book Antiqua" w:cs="Times New Roman"/>
        <w:b/>
        <w:bCs/>
        <w:i/>
        <w:iCs/>
        <w:sz w:val="20"/>
        <w:szCs w:val="20"/>
      </w:rPr>
      <w:t>Original Article</w:t>
    </w:r>
    <w:r>
      <w:rPr>
        <w:rFonts w:ascii="Book Antiqua" w:hAnsi="Book Antiqua" w:cs="Times New Roman"/>
        <w:b/>
        <w:bCs/>
        <w:i/>
        <w:iCs/>
        <w:sz w:val="20"/>
        <w:szCs w:val="20"/>
      </w:rPr>
      <w:tab/>
    </w:r>
    <w:r w:rsidRPr="005B6856">
      <w:rPr>
        <w:rFonts w:ascii="Book Antiqua" w:hAnsi="Book Antiqua" w:cs="Times New Roman"/>
        <w:b/>
        <w:bCs/>
        <w:i/>
        <w:iCs/>
        <w:sz w:val="20"/>
        <w:szCs w:val="20"/>
      </w:rPr>
      <w:t>Available online at www.bpasjournals.com</w:t>
    </w:r>
  </w:p>
  <w:p w14:paraId="1E5823C8" w14:textId="77777777" w:rsidR="00C960B0" w:rsidRDefault="00C96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3B8"/>
    <w:multiLevelType w:val="hybridMultilevel"/>
    <w:tmpl w:val="B49681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036105"/>
    <w:multiLevelType w:val="hybridMultilevel"/>
    <w:tmpl w:val="9AB49178"/>
    <w:lvl w:ilvl="0" w:tplc="3FD086D0">
      <w:start w:val="1"/>
      <w:numFmt w:val="decimal"/>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853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2E6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FE69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E13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14A1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099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80DD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7E3E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E284A"/>
    <w:multiLevelType w:val="multilevel"/>
    <w:tmpl w:val="9EC2E10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64E7A"/>
    <w:multiLevelType w:val="hybridMultilevel"/>
    <w:tmpl w:val="9F145E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33880"/>
    <w:multiLevelType w:val="hybridMultilevel"/>
    <w:tmpl w:val="8F2404A8"/>
    <w:lvl w:ilvl="0" w:tplc="27B4B0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D756C1"/>
    <w:multiLevelType w:val="hybridMultilevel"/>
    <w:tmpl w:val="F5B0E99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67C6B"/>
    <w:multiLevelType w:val="hybridMultilevel"/>
    <w:tmpl w:val="B4A239F8"/>
    <w:lvl w:ilvl="0" w:tplc="13A4D2AE">
      <w:start w:val="3"/>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C670688"/>
    <w:multiLevelType w:val="hybridMultilevel"/>
    <w:tmpl w:val="4542605C"/>
    <w:lvl w:ilvl="0" w:tplc="40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CF250D8"/>
    <w:multiLevelType w:val="hybridMultilevel"/>
    <w:tmpl w:val="323696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0DC857B2"/>
    <w:multiLevelType w:val="multilevel"/>
    <w:tmpl w:val="8D70758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E96373C"/>
    <w:multiLevelType w:val="hybridMultilevel"/>
    <w:tmpl w:val="E09AF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B38D0"/>
    <w:multiLevelType w:val="hybridMultilevel"/>
    <w:tmpl w:val="0CBE3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220D81"/>
    <w:multiLevelType w:val="hybridMultilevel"/>
    <w:tmpl w:val="72C2F08E"/>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575503"/>
    <w:multiLevelType w:val="multilevel"/>
    <w:tmpl w:val="4756391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48C41EC"/>
    <w:multiLevelType w:val="hybridMultilevel"/>
    <w:tmpl w:val="98B021A8"/>
    <w:lvl w:ilvl="0" w:tplc="13A4D2AE">
      <w:start w:val="3"/>
      <w:numFmt w:val="bullet"/>
      <w:lvlText w:val="-"/>
      <w:lvlJc w:val="left"/>
      <w:pPr>
        <w:ind w:left="720" w:hanging="360"/>
      </w:pPr>
      <w:rPr>
        <w:rFonts w:ascii="Times New Roman" w:eastAsiaTheme="minorEastAs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A972BA5"/>
    <w:multiLevelType w:val="hybridMultilevel"/>
    <w:tmpl w:val="167E46C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15:restartNumberingAfterBreak="0">
    <w:nsid w:val="35466D6B"/>
    <w:multiLevelType w:val="hybridMultilevel"/>
    <w:tmpl w:val="CD4C5F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C25288D"/>
    <w:multiLevelType w:val="multilevel"/>
    <w:tmpl w:val="CDB67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AD43B9"/>
    <w:multiLevelType w:val="multilevel"/>
    <w:tmpl w:val="A00446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7D524F"/>
    <w:multiLevelType w:val="hybridMultilevel"/>
    <w:tmpl w:val="7B969722"/>
    <w:lvl w:ilvl="0" w:tplc="F0360C92">
      <w:start w:val="1"/>
      <w:numFmt w:val="decimal"/>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0" w15:restartNumberingAfterBreak="0">
    <w:nsid w:val="49687111"/>
    <w:multiLevelType w:val="hybridMultilevel"/>
    <w:tmpl w:val="C5D873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C872467"/>
    <w:multiLevelType w:val="hybridMultilevel"/>
    <w:tmpl w:val="6F9663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F6401D2"/>
    <w:multiLevelType w:val="hybridMultilevel"/>
    <w:tmpl w:val="E8AA4E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0ED4E7F"/>
    <w:multiLevelType w:val="hybridMultilevel"/>
    <w:tmpl w:val="2B5CF26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15:restartNumberingAfterBreak="0">
    <w:nsid w:val="51F1446A"/>
    <w:multiLevelType w:val="hybridMultilevel"/>
    <w:tmpl w:val="A10CDB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65F4871"/>
    <w:multiLevelType w:val="hybridMultilevel"/>
    <w:tmpl w:val="9F8E75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C9A5C11"/>
    <w:multiLevelType w:val="multilevel"/>
    <w:tmpl w:val="7BFC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B63834"/>
    <w:multiLevelType w:val="hybridMultilevel"/>
    <w:tmpl w:val="2708D0C2"/>
    <w:lvl w:ilvl="0" w:tplc="4009000F">
      <w:start w:val="1"/>
      <w:numFmt w:val="decimal"/>
      <w:lvlText w:val="%1."/>
      <w:lvlJc w:val="left"/>
      <w:pPr>
        <w:ind w:left="107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EBD0DC7"/>
    <w:multiLevelType w:val="hybridMultilevel"/>
    <w:tmpl w:val="747C4380"/>
    <w:lvl w:ilvl="0" w:tplc="43407EB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700823B8"/>
    <w:multiLevelType w:val="hybridMultilevel"/>
    <w:tmpl w:val="E9F04A9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039159E"/>
    <w:multiLevelType w:val="hybridMultilevel"/>
    <w:tmpl w:val="B49681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48F68F8"/>
    <w:multiLevelType w:val="hybridMultilevel"/>
    <w:tmpl w:val="2A6AAA50"/>
    <w:lvl w:ilvl="0" w:tplc="13A4D2AE">
      <w:start w:val="3"/>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2663C2"/>
    <w:multiLevelType w:val="multilevel"/>
    <w:tmpl w:val="2D2C72C8"/>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3A643C"/>
    <w:multiLevelType w:val="hybridMultilevel"/>
    <w:tmpl w:val="8856B41E"/>
    <w:lvl w:ilvl="0" w:tplc="6B0C4CC0">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7F0145D"/>
    <w:multiLevelType w:val="multilevel"/>
    <w:tmpl w:val="35684628"/>
    <w:lvl w:ilvl="0">
      <w:start w:val="1"/>
      <w:numFmt w:val="decimal"/>
      <w:lvlText w:val="%1."/>
      <w:lvlJc w:val="left"/>
      <w:pPr>
        <w:ind w:left="73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40" w:hanging="720"/>
      </w:pPr>
      <w:rPr>
        <w:rFonts w:hint="default"/>
      </w:rPr>
    </w:lvl>
    <w:lvl w:ilvl="4">
      <w:start w:val="1"/>
      <w:numFmt w:val="decimal"/>
      <w:isLgl/>
      <w:lvlText w:val="%1.%2.%3.%4.%5"/>
      <w:lvlJc w:val="left"/>
      <w:pPr>
        <w:ind w:left="2850"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91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70" w:hanging="1800"/>
      </w:pPr>
      <w:rPr>
        <w:rFonts w:hint="default"/>
      </w:rPr>
    </w:lvl>
  </w:abstractNum>
  <w:abstractNum w:abstractNumId="35" w15:restartNumberingAfterBreak="0">
    <w:nsid w:val="79DD56BB"/>
    <w:multiLevelType w:val="hybridMultilevel"/>
    <w:tmpl w:val="2A6003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D8823C8"/>
    <w:multiLevelType w:val="hybridMultilevel"/>
    <w:tmpl w:val="AC84D7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E391C57"/>
    <w:multiLevelType w:val="hybridMultilevel"/>
    <w:tmpl w:val="5A9A39FA"/>
    <w:lvl w:ilvl="0" w:tplc="B4BADC42">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FE30389"/>
    <w:multiLevelType w:val="hybridMultilevel"/>
    <w:tmpl w:val="AA5623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68151521">
    <w:abstractNumId w:val="38"/>
  </w:num>
  <w:num w:numId="2" w16cid:durableId="752698539">
    <w:abstractNumId w:val="9"/>
  </w:num>
  <w:num w:numId="3" w16cid:durableId="1321888238">
    <w:abstractNumId w:val="12"/>
  </w:num>
  <w:num w:numId="4" w16cid:durableId="1063214696">
    <w:abstractNumId w:val="5"/>
  </w:num>
  <w:num w:numId="5" w16cid:durableId="1305894221">
    <w:abstractNumId w:val="3"/>
  </w:num>
  <w:num w:numId="6" w16cid:durableId="1010252864">
    <w:abstractNumId w:val="16"/>
  </w:num>
  <w:num w:numId="7" w16cid:durableId="1817409328">
    <w:abstractNumId w:val="22"/>
  </w:num>
  <w:num w:numId="8" w16cid:durableId="2042852240">
    <w:abstractNumId w:val="24"/>
  </w:num>
  <w:num w:numId="9" w16cid:durableId="791823826">
    <w:abstractNumId w:val="0"/>
  </w:num>
  <w:num w:numId="10" w16cid:durableId="441919134">
    <w:abstractNumId w:val="30"/>
  </w:num>
  <w:num w:numId="11" w16cid:durableId="1737238565">
    <w:abstractNumId w:val="35"/>
  </w:num>
  <w:num w:numId="12" w16cid:durableId="975718761">
    <w:abstractNumId w:val="8"/>
  </w:num>
  <w:num w:numId="13" w16cid:durableId="1592932530">
    <w:abstractNumId w:val="36"/>
  </w:num>
  <w:num w:numId="14" w16cid:durableId="1362515478">
    <w:abstractNumId w:val="21"/>
  </w:num>
  <w:num w:numId="15" w16cid:durableId="779224760">
    <w:abstractNumId w:val="28"/>
  </w:num>
  <w:num w:numId="16" w16cid:durableId="488446841">
    <w:abstractNumId w:val="2"/>
  </w:num>
  <w:num w:numId="17" w16cid:durableId="692389774">
    <w:abstractNumId w:val="6"/>
  </w:num>
  <w:num w:numId="18" w16cid:durableId="1967082391">
    <w:abstractNumId w:val="14"/>
  </w:num>
  <w:num w:numId="19" w16cid:durableId="994602595">
    <w:abstractNumId w:val="31"/>
  </w:num>
  <w:num w:numId="20" w16cid:durableId="852259998">
    <w:abstractNumId w:val="7"/>
  </w:num>
  <w:num w:numId="21" w16cid:durableId="360517265">
    <w:abstractNumId w:val="18"/>
  </w:num>
  <w:num w:numId="22" w16cid:durableId="1976830118">
    <w:abstractNumId w:val="27"/>
  </w:num>
  <w:num w:numId="23" w16cid:durableId="21981676">
    <w:abstractNumId w:val="29"/>
  </w:num>
  <w:num w:numId="24" w16cid:durableId="2067292995">
    <w:abstractNumId w:val="33"/>
  </w:num>
  <w:num w:numId="25" w16cid:durableId="1687368259">
    <w:abstractNumId w:val="26"/>
  </w:num>
  <w:num w:numId="26" w16cid:durableId="1687905224">
    <w:abstractNumId w:val="15"/>
  </w:num>
  <w:num w:numId="27" w16cid:durableId="1649086823">
    <w:abstractNumId w:val="37"/>
  </w:num>
  <w:num w:numId="28" w16cid:durableId="1162163429">
    <w:abstractNumId w:val="10"/>
  </w:num>
  <w:num w:numId="29" w16cid:durableId="1672100844">
    <w:abstractNumId w:val="11"/>
  </w:num>
  <w:num w:numId="30" w16cid:durableId="1870560679">
    <w:abstractNumId w:val="17"/>
  </w:num>
  <w:num w:numId="31" w16cid:durableId="1183596007">
    <w:abstractNumId w:val="4"/>
  </w:num>
  <w:num w:numId="32" w16cid:durableId="1673533141">
    <w:abstractNumId w:val="32"/>
  </w:num>
  <w:num w:numId="33" w16cid:durableId="210115991">
    <w:abstractNumId w:val="25"/>
  </w:num>
  <w:num w:numId="34" w16cid:durableId="304312772">
    <w:abstractNumId w:val="20"/>
  </w:num>
  <w:num w:numId="35" w16cid:durableId="1257594701">
    <w:abstractNumId w:val="34"/>
  </w:num>
  <w:num w:numId="36" w16cid:durableId="46883999">
    <w:abstractNumId w:val="19"/>
  </w:num>
  <w:num w:numId="37" w16cid:durableId="1602758300">
    <w:abstractNumId w:val="1"/>
  </w:num>
  <w:num w:numId="38" w16cid:durableId="1089958784">
    <w:abstractNumId w:val="13"/>
  </w:num>
  <w:num w:numId="39" w16cid:durableId="13093607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25"/>
    <w:rsid w:val="000002E4"/>
    <w:rsid w:val="00027A76"/>
    <w:rsid w:val="00032B1D"/>
    <w:rsid w:val="00040071"/>
    <w:rsid w:val="000435BE"/>
    <w:rsid w:val="000607DB"/>
    <w:rsid w:val="00062367"/>
    <w:rsid w:val="00064D76"/>
    <w:rsid w:val="00074CFC"/>
    <w:rsid w:val="00075918"/>
    <w:rsid w:val="00090277"/>
    <w:rsid w:val="000A7D8C"/>
    <w:rsid w:val="000B3AB9"/>
    <w:rsid w:val="000C5D25"/>
    <w:rsid w:val="000D257E"/>
    <w:rsid w:val="001066F4"/>
    <w:rsid w:val="00120D1A"/>
    <w:rsid w:val="00192672"/>
    <w:rsid w:val="001A497E"/>
    <w:rsid w:val="001D70E3"/>
    <w:rsid w:val="0024579B"/>
    <w:rsid w:val="00246D09"/>
    <w:rsid w:val="00253660"/>
    <w:rsid w:val="00253AEF"/>
    <w:rsid w:val="00271BF5"/>
    <w:rsid w:val="002B0A47"/>
    <w:rsid w:val="002B48B9"/>
    <w:rsid w:val="002B6D23"/>
    <w:rsid w:val="002E5BA5"/>
    <w:rsid w:val="00314F84"/>
    <w:rsid w:val="00321B48"/>
    <w:rsid w:val="0033421A"/>
    <w:rsid w:val="003367D2"/>
    <w:rsid w:val="003544EE"/>
    <w:rsid w:val="00361C4A"/>
    <w:rsid w:val="003628FE"/>
    <w:rsid w:val="003705FE"/>
    <w:rsid w:val="00375B0D"/>
    <w:rsid w:val="00377A3C"/>
    <w:rsid w:val="003904E2"/>
    <w:rsid w:val="003A67C9"/>
    <w:rsid w:val="003C0B19"/>
    <w:rsid w:val="003C17B8"/>
    <w:rsid w:val="00410DB6"/>
    <w:rsid w:val="004422A9"/>
    <w:rsid w:val="00463201"/>
    <w:rsid w:val="00472B8E"/>
    <w:rsid w:val="00481D6A"/>
    <w:rsid w:val="00484D34"/>
    <w:rsid w:val="004956D0"/>
    <w:rsid w:val="00496BC5"/>
    <w:rsid w:val="004C43F5"/>
    <w:rsid w:val="004C7415"/>
    <w:rsid w:val="004E0F15"/>
    <w:rsid w:val="004E17FA"/>
    <w:rsid w:val="00505466"/>
    <w:rsid w:val="00521FBC"/>
    <w:rsid w:val="005533E8"/>
    <w:rsid w:val="0055369F"/>
    <w:rsid w:val="00574CC3"/>
    <w:rsid w:val="005A2B6A"/>
    <w:rsid w:val="005B614D"/>
    <w:rsid w:val="005C07F8"/>
    <w:rsid w:val="005F5C38"/>
    <w:rsid w:val="005F5C7E"/>
    <w:rsid w:val="00655876"/>
    <w:rsid w:val="00655CDD"/>
    <w:rsid w:val="00664A2A"/>
    <w:rsid w:val="006A2467"/>
    <w:rsid w:val="006B0AB4"/>
    <w:rsid w:val="006E20E2"/>
    <w:rsid w:val="00724269"/>
    <w:rsid w:val="00734A65"/>
    <w:rsid w:val="0076578B"/>
    <w:rsid w:val="007728EB"/>
    <w:rsid w:val="007776E8"/>
    <w:rsid w:val="007927EE"/>
    <w:rsid w:val="007A2C87"/>
    <w:rsid w:val="007B7A81"/>
    <w:rsid w:val="007D04B4"/>
    <w:rsid w:val="007D0886"/>
    <w:rsid w:val="007F323C"/>
    <w:rsid w:val="008000FF"/>
    <w:rsid w:val="00800629"/>
    <w:rsid w:val="00813223"/>
    <w:rsid w:val="0082153F"/>
    <w:rsid w:val="00825703"/>
    <w:rsid w:val="008457D9"/>
    <w:rsid w:val="008774C4"/>
    <w:rsid w:val="008944C5"/>
    <w:rsid w:val="008A0489"/>
    <w:rsid w:val="008A42AD"/>
    <w:rsid w:val="008C1590"/>
    <w:rsid w:val="008D222B"/>
    <w:rsid w:val="00924C47"/>
    <w:rsid w:val="00941D8B"/>
    <w:rsid w:val="0094650E"/>
    <w:rsid w:val="0097154C"/>
    <w:rsid w:val="009A2327"/>
    <w:rsid w:val="009A3750"/>
    <w:rsid w:val="009A5694"/>
    <w:rsid w:val="009E38B3"/>
    <w:rsid w:val="009F70CD"/>
    <w:rsid w:val="00A5546D"/>
    <w:rsid w:val="00A576B1"/>
    <w:rsid w:val="00A65E77"/>
    <w:rsid w:val="00A81275"/>
    <w:rsid w:val="00AA4D64"/>
    <w:rsid w:val="00AF4B58"/>
    <w:rsid w:val="00B1425E"/>
    <w:rsid w:val="00B24021"/>
    <w:rsid w:val="00B271BC"/>
    <w:rsid w:val="00B353EE"/>
    <w:rsid w:val="00B55ED4"/>
    <w:rsid w:val="00B63AB7"/>
    <w:rsid w:val="00B952AE"/>
    <w:rsid w:val="00BB560B"/>
    <w:rsid w:val="00BC57F7"/>
    <w:rsid w:val="00BD3B6F"/>
    <w:rsid w:val="00BF5508"/>
    <w:rsid w:val="00C262A5"/>
    <w:rsid w:val="00C52A8D"/>
    <w:rsid w:val="00C57293"/>
    <w:rsid w:val="00C664EB"/>
    <w:rsid w:val="00C76049"/>
    <w:rsid w:val="00C960B0"/>
    <w:rsid w:val="00CD29C8"/>
    <w:rsid w:val="00CD61F0"/>
    <w:rsid w:val="00CF22D3"/>
    <w:rsid w:val="00D47661"/>
    <w:rsid w:val="00D47B97"/>
    <w:rsid w:val="00D50065"/>
    <w:rsid w:val="00DC2468"/>
    <w:rsid w:val="00DD5AE8"/>
    <w:rsid w:val="00DF1300"/>
    <w:rsid w:val="00DF50E4"/>
    <w:rsid w:val="00E11702"/>
    <w:rsid w:val="00E2611C"/>
    <w:rsid w:val="00E4108A"/>
    <w:rsid w:val="00E70E71"/>
    <w:rsid w:val="00E8610C"/>
    <w:rsid w:val="00E97997"/>
    <w:rsid w:val="00F06061"/>
    <w:rsid w:val="00F3035E"/>
    <w:rsid w:val="00F32F49"/>
    <w:rsid w:val="00F55FC1"/>
    <w:rsid w:val="00F65862"/>
    <w:rsid w:val="00F7297D"/>
    <w:rsid w:val="00F762D9"/>
    <w:rsid w:val="00F81BBA"/>
    <w:rsid w:val="00F96A33"/>
    <w:rsid w:val="00FD7B76"/>
    <w:rsid w:val="00FE7C08"/>
    <w:rsid w:val="00FF33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75951"/>
  <w15:docId w15:val="{0EBAF5C6-27A1-41CB-B0DF-6A2A613C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23"/>
  </w:style>
  <w:style w:type="paragraph" w:styleId="Heading1">
    <w:name w:val="heading 1"/>
    <w:basedOn w:val="Normal"/>
    <w:next w:val="Normal"/>
    <w:link w:val="Heading1Char"/>
    <w:uiPriority w:val="9"/>
    <w:qFormat/>
    <w:rsid w:val="00C262A5"/>
    <w:pPr>
      <w:spacing w:line="480" w:lineRule="auto"/>
      <w:jc w:val="both"/>
      <w:outlineLvl w:val="0"/>
    </w:pPr>
    <w:rPr>
      <w:rFonts w:ascii="Times New Roman" w:hAnsi="Times New Roman" w:cs="Times New Roman"/>
      <w:b/>
      <w:sz w:val="24"/>
      <w:szCs w:val="24"/>
    </w:rPr>
  </w:style>
  <w:style w:type="paragraph" w:styleId="Heading2">
    <w:name w:val="heading 2"/>
    <w:basedOn w:val="Heading1"/>
    <w:next w:val="Normal"/>
    <w:link w:val="Heading2Char"/>
    <w:uiPriority w:val="9"/>
    <w:unhideWhenUsed/>
    <w:qFormat/>
    <w:rsid w:val="00C262A5"/>
    <w:pPr>
      <w:outlineLvl w:val="1"/>
    </w:pPr>
    <w:rPr>
      <w:i/>
      <w:sz w:val="22"/>
      <w:szCs w:val="22"/>
    </w:rPr>
  </w:style>
  <w:style w:type="paragraph" w:styleId="Heading3">
    <w:name w:val="heading 3"/>
    <w:basedOn w:val="Normal"/>
    <w:next w:val="Normal"/>
    <w:link w:val="Heading3Char"/>
    <w:uiPriority w:val="9"/>
    <w:unhideWhenUsed/>
    <w:qFormat/>
    <w:rsid w:val="00375B0D"/>
    <w:pPr>
      <w:keepNext/>
      <w:keepLines/>
      <w:widowControl w:val="0"/>
      <w:autoSpaceDE w:val="0"/>
      <w:autoSpaceDN w:val="0"/>
      <w:spacing w:before="40" w:after="0" w:line="240" w:lineRule="auto"/>
      <w:jc w:val="both"/>
      <w:outlineLvl w:val="2"/>
    </w:pPr>
    <w:rPr>
      <w:rFonts w:ascii="Book Antiqua" w:eastAsiaTheme="majorEastAsia" w:hAnsi="Book Antiqua" w:cstheme="majorBidi"/>
      <w:b/>
      <w:sz w:val="24"/>
      <w:szCs w:val="24"/>
    </w:rPr>
  </w:style>
  <w:style w:type="paragraph" w:styleId="Heading4">
    <w:name w:val="heading 4"/>
    <w:basedOn w:val="Normal"/>
    <w:next w:val="Normal"/>
    <w:link w:val="Heading4Char"/>
    <w:uiPriority w:val="9"/>
    <w:semiHidden/>
    <w:unhideWhenUsed/>
    <w:qFormat/>
    <w:rsid w:val="00375B0D"/>
    <w:pPr>
      <w:keepNext/>
      <w:keepLines/>
      <w:widowControl w:val="0"/>
      <w:autoSpaceDE w:val="0"/>
      <w:autoSpaceDN w:val="0"/>
      <w:spacing w:before="40" w:after="0" w:line="240" w:lineRule="auto"/>
      <w:jc w:val="both"/>
      <w:outlineLvl w:val="3"/>
    </w:pPr>
    <w:rPr>
      <w:rFonts w:asciiTheme="majorHAnsi" w:eastAsiaTheme="majorEastAsia" w:hAnsiTheme="majorHAnsi" w:cstheme="majorBidi"/>
      <w:i/>
      <w:iCs/>
      <w:color w:val="365F91"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5D25"/>
    <w:rPr>
      <w:color w:val="0000FF"/>
      <w:u w:val="single"/>
    </w:rPr>
  </w:style>
  <w:style w:type="paragraph" w:styleId="NoSpacing">
    <w:name w:val="No Spacing"/>
    <w:link w:val="NoSpacingChar"/>
    <w:uiPriority w:val="1"/>
    <w:qFormat/>
    <w:rsid w:val="000C5D25"/>
    <w:pPr>
      <w:spacing w:after="0" w:line="240" w:lineRule="auto"/>
    </w:pPr>
  </w:style>
  <w:style w:type="character" w:customStyle="1" w:styleId="Heading1Char">
    <w:name w:val="Heading 1 Char"/>
    <w:basedOn w:val="DefaultParagraphFont"/>
    <w:link w:val="Heading1"/>
    <w:uiPriority w:val="9"/>
    <w:rsid w:val="00C262A5"/>
    <w:rPr>
      <w:rFonts w:ascii="Times New Roman" w:hAnsi="Times New Roman" w:cs="Times New Roman"/>
      <w:b/>
      <w:sz w:val="24"/>
      <w:szCs w:val="24"/>
    </w:rPr>
  </w:style>
  <w:style w:type="character" w:customStyle="1" w:styleId="BalloonTextChar">
    <w:name w:val="Balloon Text Char"/>
    <w:basedOn w:val="DefaultParagraphFont"/>
    <w:link w:val="BalloonText"/>
    <w:uiPriority w:val="99"/>
    <w:semiHidden/>
    <w:rsid w:val="00074CFC"/>
    <w:rPr>
      <w:rFonts w:ascii="Tahoma" w:hAnsi="Tahoma" w:cs="Tahoma"/>
      <w:sz w:val="16"/>
      <w:szCs w:val="16"/>
    </w:rPr>
  </w:style>
  <w:style w:type="paragraph" w:styleId="BalloonText">
    <w:name w:val="Balloon Text"/>
    <w:basedOn w:val="Normal"/>
    <w:link w:val="BalloonTextChar"/>
    <w:uiPriority w:val="99"/>
    <w:semiHidden/>
    <w:unhideWhenUsed/>
    <w:rsid w:val="00074CFC"/>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074CFC"/>
  </w:style>
  <w:style w:type="paragraph" w:styleId="Header">
    <w:name w:val="header"/>
    <w:basedOn w:val="Normal"/>
    <w:link w:val="HeaderChar"/>
    <w:uiPriority w:val="99"/>
    <w:unhideWhenUsed/>
    <w:rsid w:val="00074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CFC"/>
  </w:style>
  <w:style w:type="paragraph" w:styleId="Footer">
    <w:name w:val="footer"/>
    <w:basedOn w:val="Normal"/>
    <w:link w:val="FooterChar"/>
    <w:uiPriority w:val="99"/>
    <w:unhideWhenUsed/>
    <w:rsid w:val="00074CFC"/>
    <w:pPr>
      <w:tabs>
        <w:tab w:val="center" w:pos="4680"/>
        <w:tab w:val="right" w:pos="9360"/>
      </w:tabs>
      <w:spacing w:after="0" w:line="240" w:lineRule="auto"/>
    </w:pPr>
  </w:style>
  <w:style w:type="character" w:customStyle="1" w:styleId="TitleChar">
    <w:name w:val="Title Char"/>
    <w:basedOn w:val="DefaultParagraphFont"/>
    <w:link w:val="Title"/>
    <w:uiPriority w:val="1"/>
    <w:rsid w:val="00074CFC"/>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
    <w:qFormat/>
    <w:rsid w:val="00074C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074CFC"/>
    <w:rPr>
      <w:b/>
      <w:bCs/>
    </w:rPr>
  </w:style>
  <w:style w:type="character" w:styleId="Emphasis">
    <w:name w:val="Emphasis"/>
    <w:basedOn w:val="DefaultParagraphFont"/>
    <w:uiPriority w:val="20"/>
    <w:qFormat/>
    <w:rsid w:val="00074CFC"/>
    <w:rPr>
      <w:i/>
      <w:iCs/>
    </w:rPr>
  </w:style>
  <w:style w:type="character" w:customStyle="1" w:styleId="anchor-text">
    <w:name w:val="anchor-text"/>
    <w:basedOn w:val="DefaultParagraphFont"/>
    <w:rsid w:val="00074CFC"/>
  </w:style>
  <w:style w:type="character" w:customStyle="1" w:styleId="Heading2Char">
    <w:name w:val="Heading 2 Char"/>
    <w:basedOn w:val="DefaultParagraphFont"/>
    <w:link w:val="Heading2"/>
    <w:uiPriority w:val="9"/>
    <w:rsid w:val="00C262A5"/>
    <w:rPr>
      <w:rFonts w:ascii="Times New Roman" w:hAnsi="Times New Roman" w:cs="Times New Roman"/>
      <w:b/>
      <w:i/>
    </w:rPr>
  </w:style>
  <w:style w:type="table" w:styleId="TableGrid">
    <w:name w:val="Table Grid"/>
    <w:basedOn w:val="TableNormal"/>
    <w:uiPriority w:val="39"/>
    <w:rsid w:val="000A7D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F50E4"/>
    <w:rPr>
      <w:color w:val="605E5C"/>
      <w:shd w:val="clear" w:color="auto" w:fill="E1DFDD"/>
    </w:rPr>
  </w:style>
  <w:style w:type="paragraph" w:styleId="ListParagraph">
    <w:name w:val="List Paragraph"/>
    <w:basedOn w:val="Normal"/>
    <w:link w:val="ListParagraphChar"/>
    <w:uiPriority w:val="34"/>
    <w:qFormat/>
    <w:rsid w:val="00C57293"/>
    <w:pPr>
      <w:ind w:left="720"/>
      <w:contextualSpacing/>
    </w:pPr>
  </w:style>
  <w:style w:type="character" w:styleId="FollowedHyperlink">
    <w:name w:val="FollowedHyperlink"/>
    <w:basedOn w:val="DefaultParagraphFont"/>
    <w:uiPriority w:val="99"/>
    <w:semiHidden/>
    <w:unhideWhenUsed/>
    <w:rsid w:val="003705FE"/>
    <w:rPr>
      <w:color w:val="800080" w:themeColor="followedHyperlink"/>
      <w:u w:val="single"/>
    </w:rPr>
  </w:style>
  <w:style w:type="paragraph" w:customStyle="1" w:styleId="TableParagraph">
    <w:name w:val="Table Paragraph"/>
    <w:basedOn w:val="Normal"/>
    <w:uiPriority w:val="1"/>
    <w:qFormat/>
    <w:rsid w:val="00A65E77"/>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375B0D"/>
    <w:rPr>
      <w:rFonts w:ascii="Book Antiqua" w:eastAsiaTheme="majorEastAsia" w:hAnsi="Book Antiqua" w:cstheme="majorBidi"/>
      <w:b/>
      <w:sz w:val="24"/>
      <w:szCs w:val="24"/>
    </w:rPr>
  </w:style>
  <w:style w:type="character" w:customStyle="1" w:styleId="Heading4Char">
    <w:name w:val="Heading 4 Char"/>
    <w:basedOn w:val="DefaultParagraphFont"/>
    <w:link w:val="Heading4"/>
    <w:uiPriority w:val="9"/>
    <w:semiHidden/>
    <w:rsid w:val="00375B0D"/>
    <w:rPr>
      <w:rFonts w:asciiTheme="majorHAnsi" w:eastAsiaTheme="majorEastAsia" w:hAnsiTheme="majorHAnsi" w:cstheme="majorBidi"/>
      <w:i/>
      <w:iCs/>
      <w:color w:val="365F91" w:themeColor="accent1" w:themeShade="BF"/>
      <w:sz w:val="20"/>
    </w:rPr>
  </w:style>
  <w:style w:type="paragraph" w:styleId="BodyText">
    <w:name w:val="Body Text"/>
    <w:basedOn w:val="Normal"/>
    <w:link w:val="BodyTextChar"/>
    <w:uiPriority w:val="1"/>
    <w:qFormat/>
    <w:rsid w:val="00375B0D"/>
    <w:pPr>
      <w:widowControl w:val="0"/>
      <w:autoSpaceDE w:val="0"/>
      <w:autoSpaceDN w:val="0"/>
      <w:spacing w:after="0" w:line="240" w:lineRule="auto"/>
      <w:jc w:val="both"/>
    </w:pPr>
    <w:rPr>
      <w:rFonts w:ascii="Book Antiqua" w:eastAsia="Times New Roman" w:hAnsi="Book Antiqua" w:cstheme="majorHAnsi"/>
      <w:b/>
      <w:bCs/>
      <w:sz w:val="20"/>
      <w:szCs w:val="20"/>
    </w:rPr>
  </w:style>
  <w:style w:type="character" w:customStyle="1" w:styleId="BodyTextChar">
    <w:name w:val="Body Text Char"/>
    <w:basedOn w:val="DefaultParagraphFont"/>
    <w:link w:val="BodyText"/>
    <w:uiPriority w:val="1"/>
    <w:rsid w:val="00375B0D"/>
    <w:rPr>
      <w:rFonts w:ascii="Book Antiqua" w:eastAsia="Times New Roman" w:hAnsi="Book Antiqua" w:cstheme="majorHAnsi"/>
      <w:b/>
      <w:bCs/>
      <w:sz w:val="20"/>
      <w:szCs w:val="20"/>
    </w:rPr>
  </w:style>
  <w:style w:type="paragraph" w:customStyle="1" w:styleId="Default">
    <w:name w:val="Default"/>
    <w:rsid w:val="00375B0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375B0D"/>
    <w:pPr>
      <w:spacing w:before="100" w:beforeAutospacing="1" w:after="100" w:afterAutospacing="1" w:line="240" w:lineRule="auto"/>
      <w:jc w:val="both"/>
    </w:pPr>
    <w:rPr>
      <w:rFonts w:ascii="Book Antiqua" w:eastAsia="Times New Roman" w:hAnsi="Book Antiqua" w:cs="Times New Roman"/>
      <w:sz w:val="24"/>
      <w:szCs w:val="24"/>
      <w:lang w:val="en-IN" w:eastAsia="en-IN"/>
    </w:rPr>
  </w:style>
  <w:style w:type="paragraph" w:styleId="FootnoteText">
    <w:name w:val="footnote text"/>
    <w:basedOn w:val="Normal"/>
    <w:link w:val="FootnoteTextChar"/>
    <w:uiPriority w:val="99"/>
    <w:semiHidden/>
    <w:unhideWhenUsed/>
    <w:rsid w:val="00375B0D"/>
    <w:pPr>
      <w:widowControl w:val="0"/>
      <w:autoSpaceDE w:val="0"/>
      <w:autoSpaceDN w:val="0"/>
      <w:spacing w:after="0" w:line="240" w:lineRule="auto"/>
      <w:jc w:val="both"/>
    </w:pPr>
    <w:rPr>
      <w:rFonts w:ascii="Book Antiqua" w:eastAsia="Times New Roman" w:hAnsi="Book Antiqua" w:cs="Times New Roman"/>
      <w:sz w:val="20"/>
      <w:szCs w:val="20"/>
    </w:rPr>
  </w:style>
  <w:style w:type="character" w:customStyle="1" w:styleId="FootnoteTextChar">
    <w:name w:val="Footnote Text Char"/>
    <w:basedOn w:val="DefaultParagraphFont"/>
    <w:link w:val="FootnoteText"/>
    <w:uiPriority w:val="99"/>
    <w:semiHidden/>
    <w:rsid w:val="00375B0D"/>
    <w:rPr>
      <w:rFonts w:ascii="Book Antiqua" w:eastAsia="Times New Roman" w:hAnsi="Book Antiqua" w:cs="Times New Roman"/>
      <w:sz w:val="20"/>
      <w:szCs w:val="20"/>
    </w:rPr>
  </w:style>
  <w:style w:type="character" w:styleId="FootnoteReference">
    <w:name w:val="footnote reference"/>
    <w:basedOn w:val="DefaultParagraphFont"/>
    <w:uiPriority w:val="99"/>
    <w:semiHidden/>
    <w:unhideWhenUsed/>
    <w:rsid w:val="00375B0D"/>
    <w:rPr>
      <w:vertAlign w:val="superscript"/>
    </w:rPr>
  </w:style>
  <w:style w:type="paragraph" w:styleId="EndnoteText">
    <w:name w:val="endnote text"/>
    <w:basedOn w:val="Normal"/>
    <w:link w:val="EndnoteTextChar"/>
    <w:uiPriority w:val="99"/>
    <w:semiHidden/>
    <w:unhideWhenUsed/>
    <w:rsid w:val="00375B0D"/>
    <w:pPr>
      <w:widowControl w:val="0"/>
      <w:autoSpaceDE w:val="0"/>
      <w:autoSpaceDN w:val="0"/>
      <w:spacing w:after="0" w:line="240" w:lineRule="auto"/>
      <w:jc w:val="both"/>
    </w:pPr>
    <w:rPr>
      <w:rFonts w:ascii="Book Antiqua" w:eastAsia="Times New Roman" w:hAnsi="Book Antiqua" w:cs="Times New Roman"/>
      <w:sz w:val="20"/>
      <w:szCs w:val="20"/>
    </w:rPr>
  </w:style>
  <w:style w:type="character" w:customStyle="1" w:styleId="EndnoteTextChar">
    <w:name w:val="Endnote Text Char"/>
    <w:basedOn w:val="DefaultParagraphFont"/>
    <w:link w:val="EndnoteText"/>
    <w:uiPriority w:val="99"/>
    <w:semiHidden/>
    <w:rsid w:val="00375B0D"/>
    <w:rPr>
      <w:rFonts w:ascii="Book Antiqua" w:eastAsia="Times New Roman" w:hAnsi="Book Antiqua" w:cs="Times New Roman"/>
      <w:sz w:val="20"/>
      <w:szCs w:val="20"/>
    </w:rPr>
  </w:style>
  <w:style w:type="character" w:styleId="EndnoteReference">
    <w:name w:val="endnote reference"/>
    <w:basedOn w:val="DefaultParagraphFont"/>
    <w:uiPriority w:val="99"/>
    <w:semiHidden/>
    <w:unhideWhenUsed/>
    <w:rsid w:val="00375B0D"/>
    <w:rPr>
      <w:vertAlign w:val="superscript"/>
    </w:rPr>
  </w:style>
  <w:style w:type="character" w:customStyle="1" w:styleId="ListParagraphChar">
    <w:name w:val="List Paragraph Char"/>
    <w:basedOn w:val="DefaultParagraphFont"/>
    <w:link w:val="ListParagraph"/>
    <w:uiPriority w:val="34"/>
    <w:locked/>
    <w:rsid w:val="00375B0D"/>
  </w:style>
  <w:style w:type="character" w:customStyle="1" w:styleId="il">
    <w:name w:val="il"/>
    <w:basedOn w:val="DefaultParagraphFont"/>
    <w:rsid w:val="00375B0D"/>
  </w:style>
  <w:style w:type="character" w:customStyle="1" w:styleId="NoSpacingChar">
    <w:name w:val="No Spacing Char"/>
    <w:basedOn w:val="DefaultParagraphFont"/>
    <w:link w:val="NoSpacing"/>
    <w:uiPriority w:val="1"/>
    <w:rsid w:val="00375B0D"/>
  </w:style>
  <w:style w:type="paragraph" w:styleId="Caption">
    <w:name w:val="caption"/>
    <w:basedOn w:val="Normal"/>
    <w:next w:val="Normal"/>
    <w:uiPriority w:val="35"/>
    <w:unhideWhenUsed/>
    <w:qFormat/>
    <w:rsid w:val="00375B0D"/>
    <w:pPr>
      <w:widowControl w:val="0"/>
      <w:autoSpaceDE w:val="0"/>
      <w:autoSpaceDN w:val="0"/>
      <w:spacing w:line="240" w:lineRule="auto"/>
      <w:jc w:val="both"/>
    </w:pPr>
    <w:rPr>
      <w:rFonts w:ascii="Book Antiqua" w:eastAsia="Times New Roman" w:hAnsi="Book Antiqua" w:cs="Times New Roman"/>
      <w:i/>
      <w:iCs/>
      <w:color w:val="1F497D" w:themeColor="text2"/>
      <w:sz w:val="18"/>
      <w:szCs w:val="18"/>
    </w:rPr>
  </w:style>
  <w:style w:type="table" w:styleId="PlainTable5">
    <w:name w:val="Plain Table 5"/>
    <w:basedOn w:val="TableNormal"/>
    <w:uiPriority w:val="45"/>
    <w:rsid w:val="00375B0D"/>
    <w:pPr>
      <w:spacing w:after="0" w:line="240" w:lineRule="auto"/>
    </w:pPr>
    <w:rPr>
      <w:kern w:val="2"/>
      <w:sz w:val="24"/>
      <w:szCs w:val="21"/>
      <w:lang w:val="en-IN" w:eastAsia="en-GB" w:bidi="hi-IN"/>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uitypography-root">
    <w:name w:val="muitypography-root"/>
    <w:basedOn w:val="Normal"/>
    <w:rsid w:val="004E0F1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url">
    <w:name w:val="url"/>
    <w:basedOn w:val="DefaultParagraphFont"/>
    <w:rsid w:val="004E0F15"/>
  </w:style>
  <w:style w:type="table" w:customStyle="1" w:styleId="TableGrid0">
    <w:name w:val="TableGrid"/>
    <w:rsid w:val="00F81BBA"/>
    <w:pPr>
      <w:spacing w:after="0" w:line="240" w:lineRule="auto"/>
    </w:pPr>
    <w:rPr>
      <w:lang w:val="en-IN" w:eastAsia="en-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puia</dc:creator>
  <cp:keywords/>
  <dc:description/>
  <cp:lastModifiedBy>Jawed Haider</cp:lastModifiedBy>
  <cp:revision>3</cp:revision>
  <cp:lastPrinted>2024-12-09T05:26:00Z</cp:lastPrinted>
  <dcterms:created xsi:type="dcterms:W3CDTF">2025-02-05T09:54:00Z</dcterms:created>
  <dcterms:modified xsi:type="dcterms:W3CDTF">2025-02-06T10:22:00Z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5ab3cddd069bbde7886a08c51be4bc961fb95accd12f68c8b64d95e0a3756a2c</vt:lpwstr>
  </property>
</Properties>
</file>